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94424E" w:rsidP="001C5B01">
            <w:pPr>
              <w:suppressLineNumbers/>
              <w:rPr>
                <w:rFonts w:ascii="Arial" w:hAnsi="Arial" w:cs="FrankRuehl"/>
                <w:sz w:val="26"/>
                <w:szCs w:val="26"/>
                <w:highlight w:val="yellow"/>
              </w:rPr>
            </w:pPr>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375530137"/>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78701861"/>
                <w:text w:multiLine="1"/>
              </w:sdtPr>
              <w:sdtEndPr/>
              <w:sdtContent>
                <w:r>
                  <w:rPr>
                    <w:rFonts w:ascii="Arial" w:hAnsi="Arial"/>
                    <w:b/>
                    <w:bCs/>
                    <w:sz w:val="26"/>
                    <w:szCs w:val="26"/>
                    <w:rtl/>
                  </w:rPr>
                  <w:t>רביד</w:t>
                </w:r>
              </w:sdtContent>
            </w:sdt>
          </w:p>
          <w:p w:rsidR="0094424E" w:rsidRPr="00FA4EAF" w:rsidRDefault="0094424E" w:rsidP="001C5B01">
            <w:pPr>
              <w:suppressLineNumbers/>
              <w:rPr>
                <w:rFonts w:ascii="Arial" w:hAnsi="Arial" w:cs="FrankRuehl"/>
                <w:sz w:val="26"/>
                <w:szCs w:val="26"/>
                <w:highlight w:val="yellow"/>
              </w:rPr>
            </w:pPr>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947432806"/>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999174711"/>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E02FCC" w:rsidRDefault="00716A4D">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Pr="00716A4D" w:rsidRDefault="00CD7B2E" w:rsidP="00716A4D">
            <w:pPr>
              <w:suppressLineNumbers/>
              <w:rPr>
                <w:sz w:val="26"/>
                <w:szCs w:val="26"/>
              </w:rPr>
            </w:pPr>
            <w:sdt>
              <w:sdtPr>
                <w:rPr>
                  <w:sz w:val="26"/>
                  <w:szCs w:val="26"/>
                  <w:rtl/>
                </w:rPr>
                <w:alias w:val="1478"/>
                <w:tag w:val="1478"/>
                <w:id w:val="-2076122985"/>
                <w:text w:multiLine="1"/>
              </w:sdtPr>
              <w:sdtEndPr/>
              <w:sdtContent>
                <w:r w:rsidR="00716A4D">
                  <w:rPr>
                    <w:rFonts w:ascii="Arial" w:hAnsi="Arial" w:hint="cs"/>
                    <w:b/>
                    <w:bCs/>
                    <w:noProof w:val="0"/>
                    <w:sz w:val="26"/>
                    <w:szCs w:val="26"/>
                    <w:rtl/>
                  </w:rPr>
                  <w:t>פלוני</w:t>
                </w:r>
              </w:sdtContent>
            </w:sdt>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CD7B2E"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8D3BCC">
                  <w:rPr>
                    <w:rFonts w:ascii="Arial" w:hAnsi="Arial"/>
                    <w:b/>
                    <w:bCs/>
                    <w:noProof w:val="0"/>
                    <w:sz w:val="26"/>
                    <w:szCs w:val="26"/>
                    <w:rtl/>
                  </w:rPr>
                  <w:t>משיבים</w:t>
                </w:r>
              </w:sdtContent>
            </w:sdt>
          </w:p>
        </w:tc>
        <w:tc>
          <w:tcPr>
            <w:tcW w:w="5571" w:type="dxa"/>
          </w:tcPr>
          <w:p w:rsidR="0094424E" w:rsidRPr="00716A4D" w:rsidRDefault="00CD7B2E" w:rsidP="00F93F58">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F93F58">
                  <w:rPr>
                    <w:rFonts w:hint="cs"/>
                    <w:b/>
                    <w:bCs/>
                    <w:sz w:val="26"/>
                    <w:szCs w:val="26"/>
                    <w:rtl/>
                  </w:rPr>
                  <w:t xml:space="preserve">אלמוני </w:t>
                </w:r>
              </w:sdtContent>
            </w:sdt>
          </w:p>
          <w:p w:rsidR="0094424E" w:rsidRPr="00716A4D" w:rsidRDefault="00CD7B2E" w:rsidP="00716A4D">
            <w:pPr>
              <w:suppressLineNumbers/>
              <w:rPr>
                <w:sz w:val="26"/>
                <w:szCs w:val="26"/>
                <w:rtl/>
              </w:rPr>
            </w:pPr>
            <w:sdt>
              <w:sdtPr>
                <w:rPr>
                  <w:sz w:val="26"/>
                  <w:szCs w:val="26"/>
                  <w:rtl/>
                </w:rPr>
                <w:alias w:val="1571"/>
                <w:tag w:val="1571"/>
                <w:id w:val="-1598859096"/>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738407264"/>
                <w:text w:multiLine="1"/>
              </w:sdtPr>
              <w:sdtEndPr/>
              <w:sdtContent>
                <w:r w:rsidR="00F93F58">
                  <w:rPr>
                    <w:rFonts w:hint="cs"/>
                    <w:b/>
                    <w:bCs/>
                    <w:sz w:val="26"/>
                    <w:szCs w:val="26"/>
                    <w:rtl/>
                  </w:rPr>
                  <w:t>אלמוני</w:t>
                </w:r>
                <w:r w:rsidR="00F93F58">
                  <w:rPr>
                    <w:b/>
                    <w:bCs/>
                    <w:sz w:val="26"/>
                    <w:szCs w:val="26"/>
                    <w:rtl/>
                  </w:rPr>
                  <w:br/>
                </w:r>
                <w:r w:rsidR="00F93F58">
                  <w:rPr>
                    <w:rFonts w:hint="cs"/>
                    <w:b/>
                    <w:bCs/>
                    <w:sz w:val="26"/>
                    <w:szCs w:val="26"/>
                    <w:rtl/>
                  </w:rPr>
                  <w:t>3. אלמוני</w:t>
                </w:r>
                <w:r w:rsidR="00F93F58">
                  <w:rPr>
                    <w:b/>
                    <w:bCs/>
                    <w:sz w:val="26"/>
                    <w:szCs w:val="26"/>
                    <w:rtl/>
                  </w:rPr>
                  <w:br/>
                </w:r>
                <w:r w:rsidR="00F93F58">
                  <w:rPr>
                    <w:rFonts w:hint="cs"/>
                    <w:b/>
                    <w:bCs/>
                    <w:sz w:val="26"/>
                    <w:szCs w:val="26"/>
                    <w:rtl/>
                  </w:rPr>
                  <w:t>4. אלמונית</w:t>
                </w:r>
                <w:r w:rsidR="00F93F58">
                  <w:rPr>
                    <w:b/>
                    <w:bCs/>
                    <w:sz w:val="26"/>
                    <w:szCs w:val="26"/>
                    <w:rtl/>
                  </w:rPr>
                  <w:br/>
                </w:r>
                <w:r w:rsidR="00F93F58">
                  <w:rPr>
                    <w:rFonts w:hint="cs"/>
                    <w:b/>
                    <w:bCs/>
                    <w:sz w:val="26"/>
                    <w:szCs w:val="26"/>
                    <w:rtl/>
                  </w:rPr>
                  <w:t xml:space="preserve">5. </w:t>
                </w:r>
                <w:r w:rsidR="00716A4D">
                  <w:rPr>
                    <w:rFonts w:hint="cs"/>
                    <w:b/>
                    <w:bCs/>
                    <w:sz w:val="26"/>
                    <w:szCs w:val="26"/>
                    <w:rtl/>
                  </w:rPr>
                  <w:t xml:space="preserve">היועץ המשפטי לממשלה, האפוט' הכללי </w:t>
                </w:r>
              </w:sdtContent>
            </w:sdt>
          </w:p>
          <w:p w:rsidR="0094424E" w:rsidRPr="00716A4D" w:rsidRDefault="00CD7B2E" w:rsidP="00F93F58">
            <w:pPr>
              <w:suppressLineNumbers/>
              <w:rPr>
                <w:sz w:val="26"/>
                <w:szCs w:val="26"/>
                <w:rtl/>
              </w:rPr>
            </w:pPr>
            <w:sdt>
              <w:sdtPr>
                <w:rPr>
                  <w:sz w:val="26"/>
                  <w:szCs w:val="26"/>
                  <w:rtl/>
                </w:rPr>
                <w:alias w:val="1571"/>
                <w:tag w:val="1571"/>
                <w:id w:val="-1522086004"/>
                <w:text w:multiLine="1"/>
              </w:sdtPr>
              <w:sdtEndPr/>
              <w:sdtContent>
                <w:r w:rsidR="00F93F58">
                  <w:rPr>
                    <w:rFonts w:ascii="Arial" w:hAnsi="Arial" w:hint="cs"/>
                    <w:b/>
                    <w:bCs/>
                    <w:noProof w:val="0"/>
                    <w:sz w:val="26"/>
                    <w:szCs w:val="26"/>
                    <w:rtl/>
                  </w:rPr>
                  <w:t>6</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2030911550"/>
                <w:text w:multiLine="1"/>
              </w:sdtPr>
              <w:sdtEndPr/>
              <w:sdtContent>
                <w:r w:rsidR="00716A4D">
                  <w:rPr>
                    <w:rFonts w:hint="cs"/>
                    <w:b/>
                    <w:bCs/>
                    <w:sz w:val="26"/>
                    <w:szCs w:val="26"/>
                    <w:rtl/>
                  </w:rPr>
                  <w:t>רפי כריסטוף, עו"ד מנהל עזבון קבוע</w:t>
                </w:r>
              </w:sdtContent>
            </w:sdt>
          </w:p>
          <w:p w:rsidR="0094424E" w:rsidRPr="00716A4D" w:rsidRDefault="00CD7B2E" w:rsidP="00F93F58">
            <w:pPr>
              <w:suppressLineNumbers/>
              <w:rPr>
                <w:sz w:val="26"/>
                <w:szCs w:val="26"/>
                <w:rtl/>
              </w:rPr>
            </w:pPr>
            <w:sdt>
              <w:sdtPr>
                <w:rPr>
                  <w:sz w:val="26"/>
                  <w:szCs w:val="26"/>
                  <w:rtl/>
                </w:rPr>
                <w:alias w:val="1571"/>
                <w:tag w:val="1571"/>
                <w:id w:val="1364872060"/>
                <w:text w:multiLine="1"/>
              </w:sdtPr>
              <w:sdtEndPr/>
              <w:sdtContent>
                <w:r w:rsidR="00F93F58">
                  <w:rPr>
                    <w:rFonts w:ascii="Arial" w:hAnsi="Arial" w:hint="cs"/>
                    <w:b/>
                    <w:bCs/>
                    <w:noProof w:val="0"/>
                    <w:sz w:val="26"/>
                    <w:szCs w:val="26"/>
                    <w:rtl/>
                  </w:rPr>
                  <w:t>7</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294222249"/>
                <w:text w:multiLine="1"/>
              </w:sdtPr>
              <w:sdtEndPr/>
              <w:sdtContent>
                <w:r w:rsidR="00716A4D">
                  <w:rPr>
                    <w:rFonts w:hint="cs"/>
                    <w:b/>
                    <w:bCs/>
                    <w:sz w:val="26"/>
                    <w:szCs w:val="26"/>
                    <w:rtl/>
                  </w:rPr>
                  <w:t>עמוס צדיקה, עו"ד מנהל עזבון קבוע</w:t>
                </w:r>
              </w:sdtContent>
            </w:sdt>
          </w:p>
        </w:tc>
      </w:tr>
      <w:tr w:rsidR="004C17EE" w:rsidRPr="00FA4EAF" w:rsidTr="00D620FD">
        <w:trPr>
          <w:jc w:val="center"/>
        </w:trPr>
        <w:tc>
          <w:tcPr>
            <w:tcW w:w="8820" w:type="dxa"/>
            <w:gridSpan w:val="3"/>
          </w:tcPr>
          <w:p w:rsidR="00E02FCC" w:rsidRDefault="00E02FCC">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716A4D" w:rsidRDefault="00716A4D" w:rsidP="00716A4D">
      <w:pPr>
        <w:spacing w:line="360" w:lineRule="auto"/>
        <w:jc w:val="both"/>
        <w:rPr>
          <w:rFonts w:ascii="David" w:hAnsi="David"/>
          <w:b/>
          <w:bCs/>
          <w:rtl/>
        </w:rPr>
      </w:pPr>
      <w:bookmarkStart w:id="1" w:name="NGCSBookmark"/>
      <w:bookmarkEnd w:id="1"/>
      <w:r>
        <w:rPr>
          <w:rFonts w:ascii="David" w:hAnsi="David" w:hint="cs"/>
          <w:b/>
          <w:bCs/>
          <w:u w:val="single"/>
          <w:rtl/>
        </w:rPr>
        <w:t>השופט שאול שוחט, סגן הנשיא, אב"ד</w:t>
      </w:r>
      <w:r>
        <w:rPr>
          <w:rFonts w:ascii="David" w:hAnsi="David" w:hint="cs"/>
          <w:b/>
          <w:bCs/>
          <w:rtl/>
        </w:rPr>
        <w:t>:</w:t>
      </w:r>
    </w:p>
    <w:p w:rsidR="00716A4D" w:rsidRPr="00716A4D" w:rsidRDefault="00716A4D" w:rsidP="00716A4D">
      <w:pPr>
        <w:spacing w:line="360" w:lineRule="auto"/>
        <w:jc w:val="both"/>
        <w:rPr>
          <w:rFonts w:ascii="David" w:hAnsi="David"/>
          <w:b/>
          <w:bCs/>
          <w:rtl/>
        </w:rPr>
      </w:pPr>
    </w:p>
    <w:p w:rsidR="00716A4D" w:rsidRDefault="00716A4D" w:rsidP="00716A4D">
      <w:pPr>
        <w:spacing w:line="360" w:lineRule="auto"/>
        <w:jc w:val="both"/>
        <w:rPr>
          <w:rFonts w:ascii="David" w:hAnsi="David"/>
          <w:noProof w:val="0"/>
        </w:rPr>
      </w:pPr>
      <w:r>
        <w:rPr>
          <w:rFonts w:ascii="David" w:hAnsi="David"/>
          <w:rtl/>
        </w:rPr>
        <w:t xml:space="preserve">ערעור על פסק-דינו של בית המשפט לענייני משפחה במחוז תל-אביב (כב' השופט ליאור ברינגר, בתמ"ש 20355-09-22), מיום 5.2.23, במסגרתו נדחה על הסף, מטעם של חוסר סמכות עניינית,  ההליך בו פתח המערער, שהוכתר כערעור על החלטת מנהלי עיזבון לדחות תביעת חוב מטעמו.  </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b/>
          <w:bCs/>
          <w:u w:val="single"/>
          <w:rtl/>
        </w:rPr>
      </w:pPr>
      <w:r>
        <w:rPr>
          <w:rFonts w:ascii="David" w:hAnsi="David"/>
          <w:b/>
          <w:bCs/>
          <w:u w:val="single"/>
          <w:rtl/>
        </w:rPr>
        <w:t>העובדות הצריכות לעניין</w:t>
      </w:r>
    </w:p>
    <w:p w:rsidR="00716A4D" w:rsidRDefault="00716A4D" w:rsidP="00716A4D">
      <w:pPr>
        <w:spacing w:line="360" w:lineRule="auto"/>
        <w:jc w:val="both"/>
        <w:rPr>
          <w:rFonts w:ascii="David" w:hAnsi="David"/>
          <w:rtl/>
        </w:rPr>
      </w:pPr>
    </w:p>
    <w:p w:rsidR="00716A4D" w:rsidRDefault="00716A4D" w:rsidP="00F93F58">
      <w:pPr>
        <w:spacing w:line="360" w:lineRule="auto"/>
        <w:jc w:val="both"/>
        <w:rPr>
          <w:rFonts w:ascii="David" w:hAnsi="David"/>
          <w:b/>
          <w:bCs/>
          <w:rtl/>
        </w:rPr>
      </w:pPr>
      <w:r>
        <w:rPr>
          <w:rFonts w:ascii="David" w:hAnsi="David"/>
          <w:rtl/>
        </w:rPr>
        <w:t xml:space="preserve">בשנת 2014 הלך לבית עולמו מר ט.ל (להלן: </w:t>
      </w:r>
      <w:r>
        <w:rPr>
          <w:rFonts w:ascii="David" w:hAnsi="David"/>
          <w:b/>
          <w:bCs/>
          <w:rtl/>
        </w:rPr>
        <w:t>המנוח</w:t>
      </w:r>
      <w:r>
        <w:rPr>
          <w:rFonts w:ascii="David" w:hAnsi="David"/>
          <w:rtl/>
        </w:rPr>
        <w:t xml:space="preserve">). המנוח הותיר אחריו צוואה שקוימה וביום 7.6.2018 מונו המשיבים </w:t>
      </w:r>
      <w:r w:rsidRPr="00F93F58">
        <w:rPr>
          <w:rFonts w:ascii="David" w:hAnsi="David"/>
          <w:rtl/>
        </w:rPr>
        <w:t>6 -7, במסגרת</w:t>
      </w:r>
      <w:r>
        <w:rPr>
          <w:rFonts w:ascii="David" w:hAnsi="David"/>
          <w:rtl/>
        </w:rPr>
        <w:t xml:space="preserve"> ת"ע 9452-08-15, למנהלי עיזבון קבועים לעיזבונו (להלן: "</w:t>
      </w:r>
      <w:r>
        <w:rPr>
          <w:rFonts w:ascii="David" w:hAnsi="David"/>
          <w:b/>
          <w:bCs/>
          <w:rtl/>
        </w:rPr>
        <w:t>מנהלי העיזבון</w:t>
      </w:r>
      <w:r>
        <w:rPr>
          <w:rFonts w:ascii="David" w:hAnsi="David"/>
          <w:rtl/>
        </w:rPr>
        <w:t>"). בין יתר סמכויותיהם, כפי שהוגדרו בצו המינוי "</w:t>
      </w:r>
      <w:r>
        <w:rPr>
          <w:rFonts w:ascii="David" w:hAnsi="David"/>
          <w:b/>
          <w:bCs/>
          <w:rtl/>
        </w:rPr>
        <w:t>לכנס את נכסי העיזבון וניהולם, בדיקת חובותיו של המנוח ויתר ההתחייבויות כמפורט בחוק</w:t>
      </w:r>
      <w:r w:rsidRPr="00137195">
        <w:rPr>
          <w:rFonts w:ascii="David" w:hAnsi="David"/>
          <w:rtl/>
        </w:rPr>
        <w:t>".</w:t>
      </w:r>
    </w:p>
    <w:p w:rsidR="00716A4D" w:rsidRDefault="00716A4D" w:rsidP="00716A4D">
      <w:pPr>
        <w:spacing w:line="360" w:lineRule="auto"/>
        <w:jc w:val="both"/>
        <w:rPr>
          <w:rFonts w:ascii="David" w:hAnsi="David"/>
          <w:b/>
          <w:bCs/>
          <w:rtl/>
        </w:rPr>
      </w:pPr>
    </w:p>
    <w:p w:rsidR="00716A4D" w:rsidRDefault="00716A4D" w:rsidP="00716A4D">
      <w:pPr>
        <w:spacing w:line="360" w:lineRule="auto"/>
        <w:jc w:val="both"/>
        <w:rPr>
          <w:rFonts w:ascii="David" w:hAnsi="David"/>
          <w:rtl/>
        </w:rPr>
      </w:pPr>
      <w:r>
        <w:rPr>
          <w:rFonts w:ascii="David" w:hAnsi="David"/>
          <w:rtl/>
        </w:rPr>
        <w:t>המנוח הותיר אחריו עיזבון מורכב שמכיל רכוש רב ומנגד תביעות בסכומים גבוהים של נושים שונים, שמתבררות בערכאות שונות בארץ ובחו"ל.</w:t>
      </w:r>
    </w:p>
    <w:p w:rsidR="00716A4D" w:rsidRDefault="00716A4D" w:rsidP="00716A4D">
      <w:pPr>
        <w:spacing w:line="360" w:lineRule="auto"/>
        <w:jc w:val="both"/>
        <w:rPr>
          <w:rFonts w:ascii="David" w:hAnsi="David"/>
          <w:rtl/>
        </w:rPr>
      </w:pPr>
      <w:r>
        <w:rPr>
          <w:rFonts w:ascii="David" w:hAnsi="David"/>
          <w:rtl/>
        </w:rPr>
        <w:t>אחד מהטוענים להיותו נושה של המנוח ועזבונו הוא המערער. המערער טוען כי בשנים 2011-2012 הלווה סכום של 5.5 מיליון אירו למנוח או לחברות שקשורות למנוח וכי חלק מהסכום לא הוחזר. בעקבות הזמנת נושים לפי הוראת סעיף 99(א) ל</w:t>
      </w:r>
      <w:r w:rsidRPr="00137195">
        <w:rPr>
          <w:rFonts w:ascii="David" w:hAnsi="David"/>
          <w:b/>
          <w:bCs/>
          <w:rtl/>
        </w:rPr>
        <w:t>חוק הירושה</w:t>
      </w:r>
      <w:r>
        <w:rPr>
          <w:rFonts w:ascii="David" w:hAnsi="David"/>
          <w:rtl/>
        </w:rPr>
        <w:t>, התשכ</w:t>
      </w:r>
      <w:r w:rsidR="00137195">
        <w:rPr>
          <w:rFonts w:ascii="David" w:hAnsi="David" w:hint="cs"/>
          <w:rtl/>
        </w:rPr>
        <w:t>"</w:t>
      </w:r>
      <w:r w:rsidR="00137195">
        <w:rPr>
          <w:rFonts w:ascii="David" w:hAnsi="David"/>
          <w:rtl/>
        </w:rPr>
        <w:t>ה</w:t>
      </w:r>
      <w:r>
        <w:rPr>
          <w:rFonts w:ascii="David" w:hAnsi="David"/>
          <w:rtl/>
        </w:rPr>
        <w:t xml:space="preserve">-1965 (להלן: </w:t>
      </w:r>
      <w:r>
        <w:rPr>
          <w:rFonts w:ascii="David" w:hAnsi="David"/>
          <w:b/>
          <w:bCs/>
          <w:rtl/>
        </w:rPr>
        <w:t>חוק הירושה</w:t>
      </w:r>
      <w:r>
        <w:rPr>
          <w:rFonts w:ascii="David" w:hAnsi="David"/>
          <w:rtl/>
        </w:rPr>
        <w:t>), אותה פרסמו מנהלי העיזבון, פנה המערער והגיש ת</w:t>
      </w:r>
      <w:r w:rsidR="00137195">
        <w:rPr>
          <w:rFonts w:ascii="David" w:hAnsi="David"/>
          <w:rtl/>
        </w:rPr>
        <w:t>ביעת חוב למנהלי העיזבון (להלן:</w:t>
      </w:r>
      <w:r w:rsidR="00137195">
        <w:rPr>
          <w:rFonts w:ascii="David" w:hAnsi="David" w:hint="cs"/>
          <w:rtl/>
        </w:rPr>
        <w:t xml:space="preserve"> </w:t>
      </w:r>
      <w:r>
        <w:rPr>
          <w:rFonts w:ascii="David" w:hAnsi="David"/>
          <w:b/>
          <w:bCs/>
          <w:rtl/>
        </w:rPr>
        <w:t>תביעת החוב</w:t>
      </w:r>
      <w:r>
        <w:rPr>
          <w:rFonts w:ascii="David" w:hAnsi="David"/>
          <w:rtl/>
        </w:rPr>
        <w:t xml:space="preserve">). </w:t>
      </w:r>
      <w:r>
        <w:rPr>
          <w:rFonts w:ascii="David" w:hAnsi="David"/>
          <w:rtl/>
        </w:rPr>
        <w:lastRenderedPageBreak/>
        <w:t>מנהלי העיזבון בדקו את תביעת החוב ואף קיימו בירור ראייתי שכלל קבלת ראיות, שמיעת עדויות והגשת סיכומים. ביום 13.6.22 דחו מנהלי העיזבון את תביעת החוב מטעם המערער,  במסמך מנומק שמונה 25 עמודים והנושא כותרת "</w:t>
      </w:r>
      <w:r>
        <w:rPr>
          <w:rFonts w:ascii="David" w:hAnsi="David"/>
          <w:b/>
          <w:bCs/>
          <w:rtl/>
        </w:rPr>
        <w:t>פסק דין בתביעת חוב</w:t>
      </w:r>
      <w:r w:rsidR="00137195">
        <w:rPr>
          <w:rFonts w:ascii="David" w:hAnsi="David"/>
          <w:rtl/>
        </w:rPr>
        <w:t>"</w:t>
      </w:r>
      <w:r>
        <w:rPr>
          <w:rFonts w:ascii="David" w:hAnsi="David"/>
          <w:rtl/>
        </w:rPr>
        <w:t>.</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t>המערער לא השלים עם החלטת מנהלי העיזבון לדחות את תביעת החוב שהגיש ופנה לביהמ"ש קמא בהליך שנפתח כתביעה, הוגדר כ"</w:t>
      </w:r>
      <w:r>
        <w:rPr>
          <w:rFonts w:ascii="David" w:hAnsi="David"/>
          <w:b/>
          <w:bCs/>
          <w:rtl/>
        </w:rPr>
        <w:t>ערעור בעניין עיזבונות</w:t>
      </w:r>
      <w:r>
        <w:rPr>
          <w:rFonts w:ascii="David" w:hAnsi="David"/>
          <w:rtl/>
        </w:rPr>
        <w:t xml:space="preserve">", נושא כותרת </w:t>
      </w:r>
      <w:r w:rsidRPr="00137195">
        <w:rPr>
          <w:rFonts w:ascii="David" w:hAnsi="David"/>
          <w:rtl/>
        </w:rPr>
        <w:t>"</w:t>
      </w:r>
      <w:r>
        <w:rPr>
          <w:rFonts w:ascii="David" w:hAnsi="David"/>
          <w:b/>
          <w:bCs/>
          <w:rtl/>
        </w:rPr>
        <w:t>כתב ערעור</w:t>
      </w:r>
      <w:r>
        <w:rPr>
          <w:rFonts w:ascii="David" w:hAnsi="David"/>
          <w:rtl/>
        </w:rPr>
        <w:t>" ובמסגרתו הלין המערער על הכרעת מנהלי העיזבון בתביעתו ועתר כי ביהמ"ש יקבל את ערעורו, יתערב בהכרעת מנהלי העיזבון ויפסוק לטובתו את הסכום אותו תבע בתביעת החוב.</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t>ביום 9.1.23 קיים ביהמ"ש קמא דיון מקדמי בהליך אותו יזם המערער. לאחר שמיעת ב"כ המערער ומנהלי העיזבון ביקש מהצדדים להגיש לו אסמכתאות בדבר המתווה המשפטי בו יש לנהל את התיק.</w:t>
      </w:r>
    </w:p>
    <w:p w:rsidR="00716A4D" w:rsidRDefault="00716A4D" w:rsidP="00716A4D">
      <w:pPr>
        <w:spacing w:line="360" w:lineRule="auto"/>
        <w:jc w:val="both"/>
        <w:rPr>
          <w:rFonts w:ascii="David" w:hAnsi="David"/>
          <w:rtl/>
        </w:rPr>
      </w:pPr>
    </w:p>
    <w:p w:rsidR="00716A4D" w:rsidRDefault="00716A4D" w:rsidP="00F51C13">
      <w:pPr>
        <w:spacing w:line="360" w:lineRule="auto"/>
        <w:jc w:val="both"/>
        <w:rPr>
          <w:rFonts w:ascii="David" w:hAnsi="David"/>
          <w:rtl/>
        </w:rPr>
      </w:pPr>
      <w:r>
        <w:rPr>
          <w:rFonts w:ascii="David" w:hAnsi="David"/>
          <w:rtl/>
        </w:rPr>
        <w:t xml:space="preserve">ביום 5.2.23, לאחר שהצדדים הגישו לביהמ"ש קמא אסמכתאות שונות, נתן ביהמ"ש קמא את פסק-דינו. ביהמ"ש קמא מצא, כי חרף העובדה שהמערער, מנהלי העיזבון וכן </w:t>
      </w:r>
      <w:r w:rsidRPr="00F357B5">
        <w:rPr>
          <w:rFonts w:ascii="David" w:hAnsi="David"/>
          <w:rtl/>
        </w:rPr>
        <w:t>המשיבים 1-4</w:t>
      </w:r>
      <w:r>
        <w:rPr>
          <w:rFonts w:ascii="David" w:hAnsi="David"/>
          <w:rtl/>
        </w:rPr>
        <w:t xml:space="preserve"> (שלהבנתו הם הזוכים לפי הצוואה) מסכימים כי ההליך בו נקט המערער יתנהל לפניו, הספרות המקצועית ופסקי הדין להם הפנו מלמדים כי אין לו סמכות עניינית לדון בהליך המשפטי שהובא לפתחו. בהקשר זה ציין ביהמ"ש קמא כדלקמן:</w:t>
      </w:r>
    </w:p>
    <w:p w:rsidR="00716A4D" w:rsidRDefault="00716A4D" w:rsidP="00716A4D">
      <w:pPr>
        <w:spacing w:line="360" w:lineRule="auto"/>
        <w:jc w:val="both"/>
        <w:rPr>
          <w:rFonts w:ascii="David" w:hAnsi="David"/>
          <w:rtl/>
        </w:rPr>
      </w:pPr>
    </w:p>
    <w:p w:rsidR="00716A4D" w:rsidRDefault="00F51C13" w:rsidP="00716A4D">
      <w:pPr>
        <w:spacing w:line="360" w:lineRule="auto"/>
        <w:ind w:left="720" w:hanging="720"/>
        <w:jc w:val="both"/>
        <w:rPr>
          <w:rFonts w:ascii="David" w:hAnsi="David"/>
          <w:b/>
          <w:bCs/>
          <w:rtl/>
        </w:rPr>
      </w:pPr>
      <w:r>
        <w:rPr>
          <w:rFonts w:ascii="David" w:hAnsi="David"/>
          <w:b/>
          <w:bCs/>
          <w:rtl/>
        </w:rPr>
        <w:t xml:space="preserve">"11. </w:t>
      </w:r>
      <w:r>
        <w:rPr>
          <w:rFonts w:ascii="David" w:hAnsi="David"/>
          <w:b/>
          <w:bCs/>
          <w:rtl/>
        </w:rPr>
        <w:tab/>
        <w:t xml:space="preserve">הצדדים מפנים </w:t>
      </w:r>
      <w:r w:rsidR="00716A4D">
        <w:rPr>
          <w:rFonts w:ascii="David" w:hAnsi="David"/>
          <w:b/>
          <w:bCs/>
          <w:rtl/>
        </w:rPr>
        <w:t>לספרם של המלומדים שאול שוחט, מנחם גולדברג ויחזקאל פלומין "דיני ירושה ועזבון הוצאת סדן מהדורה שישית 2005". דע עקא שמהספר עולה כי כאשר מנהל העיזבון דוחה תביעת חוב, על הנושה להגיש תביעה נגד העיזבון (ר' עמ' 187). כאשר מדובר במחלוקת ברורה שאינה מצריכה בירור עובדתי מקיף וניהולה במסגרת זו לא יג</w:t>
      </w:r>
      <w:r>
        <w:rPr>
          <w:rFonts w:ascii="David" w:hAnsi="David"/>
          <w:b/>
          <w:bCs/>
          <w:rtl/>
        </w:rPr>
        <w:t>רום לעיוות דין ולא יפגע דיונית/</w:t>
      </w:r>
      <w:r w:rsidR="00716A4D">
        <w:rPr>
          <w:rFonts w:ascii="David" w:hAnsi="David"/>
          <w:b/>
          <w:bCs/>
          <w:rtl/>
        </w:rPr>
        <w:t>מהותית בזכויות הנושה, יכול בית המשפט שמינה את מנהל העזבון להכריע במחלוקת בדרך של מתן הוראות (עמ' 175).</w:t>
      </w:r>
    </w:p>
    <w:p w:rsidR="00716A4D" w:rsidRDefault="00716A4D" w:rsidP="00716A4D">
      <w:pPr>
        <w:spacing w:line="360" w:lineRule="auto"/>
        <w:jc w:val="both"/>
        <w:rPr>
          <w:rFonts w:ascii="David" w:hAnsi="David"/>
          <w:b/>
          <w:bCs/>
        </w:rPr>
      </w:pPr>
      <w:r>
        <w:rPr>
          <w:rFonts w:ascii="David" w:hAnsi="David"/>
          <w:b/>
          <w:bCs/>
          <w:rtl/>
        </w:rPr>
        <w:t xml:space="preserve">12. </w:t>
      </w:r>
      <w:r>
        <w:rPr>
          <w:rFonts w:ascii="David" w:hAnsi="David"/>
          <w:b/>
          <w:bCs/>
          <w:rtl/>
        </w:rPr>
        <w:tab/>
        <w:t xml:space="preserve">במקרה הנוכחי מדובר בהליך מרכב הכולל בירור עובדתי מקיף והכרעת מנהלי העיזבון </w:t>
      </w:r>
      <w:r>
        <w:rPr>
          <w:rFonts w:ascii="David" w:hAnsi="David"/>
          <w:b/>
          <w:bCs/>
          <w:rtl/>
        </w:rPr>
        <w:tab/>
        <w:t>מבוססת בין השאר על מהימנות העדים שנשמעו בפניהם.</w:t>
      </w:r>
      <w:r>
        <w:rPr>
          <w:rFonts w:ascii="David" w:hAnsi="David"/>
          <w:b/>
          <w:bCs/>
          <w:rtl/>
        </w:rPr>
        <w:tab/>
      </w:r>
      <w:r>
        <w:rPr>
          <w:rFonts w:ascii="David" w:hAnsi="David"/>
          <w:b/>
          <w:bCs/>
          <w:rtl/>
        </w:rPr>
        <w:tab/>
      </w:r>
      <w:r>
        <w:rPr>
          <w:rFonts w:ascii="David" w:hAnsi="David"/>
          <w:b/>
          <w:bCs/>
          <w:rtl/>
        </w:rPr>
        <w:tab/>
      </w:r>
    </w:p>
    <w:p w:rsidR="00716A4D" w:rsidRDefault="00716A4D" w:rsidP="005630EA">
      <w:pPr>
        <w:spacing w:line="360" w:lineRule="auto"/>
        <w:ind w:left="720"/>
        <w:jc w:val="both"/>
        <w:rPr>
          <w:rFonts w:ascii="David" w:hAnsi="David"/>
          <w:b/>
          <w:bCs/>
          <w:rtl/>
        </w:rPr>
      </w:pPr>
      <w:r>
        <w:rPr>
          <w:rFonts w:ascii="David" w:hAnsi="David"/>
          <w:b/>
          <w:bCs/>
          <w:rtl/>
        </w:rPr>
        <w:t xml:space="preserve">בנסיבות אלה לא ניתן להכריע במחלקות על דרך של מתן הוראות אלא יש לנהל תביעה, </w:t>
      </w:r>
      <w:r w:rsidR="005630EA">
        <w:rPr>
          <w:rFonts w:ascii="David" w:hAnsi="David"/>
          <w:b/>
          <w:bCs/>
          <w:rtl/>
        </w:rPr>
        <w:t xml:space="preserve">כפי </w:t>
      </w:r>
      <w:r>
        <w:rPr>
          <w:rFonts w:ascii="David" w:hAnsi="David"/>
          <w:b/>
          <w:bCs/>
          <w:rtl/>
        </w:rPr>
        <w:t>שמנהלים כל תביעה אחרת, בפני הערכאה השיפוטית המוסמכת.</w:t>
      </w:r>
    </w:p>
    <w:p w:rsidR="00716A4D" w:rsidRDefault="00716A4D" w:rsidP="005630EA">
      <w:pPr>
        <w:spacing w:line="360" w:lineRule="auto"/>
        <w:ind w:left="720" w:hanging="720"/>
        <w:jc w:val="both"/>
        <w:rPr>
          <w:rFonts w:ascii="David" w:hAnsi="David"/>
          <w:b/>
          <w:bCs/>
          <w:rtl/>
        </w:rPr>
      </w:pPr>
      <w:r>
        <w:rPr>
          <w:rFonts w:ascii="David" w:hAnsi="David"/>
          <w:b/>
          <w:bCs/>
          <w:rtl/>
        </w:rPr>
        <w:t xml:space="preserve">13. </w:t>
      </w:r>
      <w:r>
        <w:rPr>
          <w:rFonts w:ascii="David" w:hAnsi="David"/>
          <w:b/>
          <w:bCs/>
          <w:rtl/>
        </w:rPr>
        <w:tab/>
        <w:t xml:space="preserve">הצדדים מפנים לפ"ד שונים, וגם מהם עולה אותה מסקנה: תביעה נגד העיזבון (להבדיל        </w:t>
      </w:r>
      <w:r w:rsidR="005630EA">
        <w:rPr>
          <w:rFonts w:ascii="David" w:hAnsi="David"/>
          <w:b/>
          <w:bCs/>
          <w:rtl/>
        </w:rPr>
        <w:t xml:space="preserve">ממנהל </w:t>
      </w:r>
      <w:r>
        <w:rPr>
          <w:rFonts w:ascii="David" w:hAnsi="David"/>
          <w:b/>
          <w:bCs/>
          <w:rtl/>
        </w:rPr>
        <w:t>העיזבון) יש להגיש ככל תביעה, לערכאה המוסמכת, כאשר הסמכות נק</w:t>
      </w:r>
      <w:r w:rsidR="005630EA">
        <w:rPr>
          <w:rFonts w:ascii="David" w:hAnsi="David"/>
          <w:b/>
          <w:bCs/>
          <w:rtl/>
        </w:rPr>
        <w:t>בעת לפי מבחן הסע</w:t>
      </w:r>
      <w:r w:rsidR="005630EA">
        <w:rPr>
          <w:rFonts w:ascii="David" w:hAnsi="David" w:hint="cs"/>
          <w:b/>
          <w:bCs/>
          <w:rtl/>
        </w:rPr>
        <w:t xml:space="preserve">ד </w:t>
      </w:r>
      <w:r>
        <w:rPr>
          <w:rFonts w:ascii="David" w:hAnsi="David"/>
          <w:b/>
          <w:bCs/>
          <w:rtl/>
        </w:rPr>
        <w:t>ושווי התביעה, על פי כללי הסמכות הרגילים (ת"א (מחוזי</w:t>
      </w:r>
      <w:r w:rsidR="005630EA">
        <w:rPr>
          <w:rFonts w:ascii="David" w:hAnsi="David"/>
          <w:b/>
          <w:bCs/>
          <w:rtl/>
        </w:rPr>
        <w:t xml:space="preserve"> חיפה) 665/04 שובל דבי נ' עו"ד </w:t>
      </w:r>
      <w:r>
        <w:rPr>
          <w:rFonts w:ascii="David" w:hAnsi="David"/>
          <w:b/>
          <w:bCs/>
          <w:rtl/>
        </w:rPr>
        <w:t>שחף ניר).</w:t>
      </w:r>
    </w:p>
    <w:p w:rsidR="00716A4D" w:rsidRDefault="00716A4D" w:rsidP="00716A4D">
      <w:pPr>
        <w:spacing w:line="360" w:lineRule="auto"/>
        <w:jc w:val="both"/>
        <w:rPr>
          <w:rFonts w:ascii="David" w:hAnsi="David"/>
          <w:b/>
          <w:bCs/>
          <w:rtl/>
        </w:rPr>
      </w:pPr>
      <w:r>
        <w:rPr>
          <w:rFonts w:ascii="David" w:hAnsi="David"/>
          <w:b/>
          <w:bCs/>
          <w:rtl/>
        </w:rPr>
        <w:lastRenderedPageBreak/>
        <w:t xml:space="preserve">14. </w:t>
      </w:r>
      <w:r>
        <w:rPr>
          <w:rFonts w:ascii="David" w:hAnsi="David"/>
          <w:b/>
          <w:bCs/>
          <w:rtl/>
        </w:rPr>
        <w:tab/>
        <w:t xml:space="preserve">סיכומו של דבר, משעה שהסעד המבוקש בתביעה הוא בסכום של מיליוני יורו, ושעה </w:t>
      </w:r>
      <w:r>
        <w:rPr>
          <w:rFonts w:ascii="David" w:hAnsi="David"/>
          <w:b/>
          <w:bCs/>
          <w:rtl/>
        </w:rPr>
        <w:tab/>
        <w:t xml:space="preserve">שהצדדים לתביעה אינם "קרובי משפחה" כמוגדר בחוק בית המשפט לענייני משפחה, </w:t>
      </w:r>
      <w:r>
        <w:rPr>
          <w:rFonts w:ascii="David" w:hAnsi="David"/>
          <w:b/>
          <w:bCs/>
          <w:rtl/>
        </w:rPr>
        <w:tab/>
        <w:t>הסמכות לדון בתביעה אינה נתונה לבית משפט זה ויש להגישה לבית המשפט המוסמך.</w:t>
      </w:r>
    </w:p>
    <w:p w:rsidR="00716A4D" w:rsidRDefault="00716A4D" w:rsidP="00A41E0F">
      <w:pPr>
        <w:spacing w:line="360" w:lineRule="auto"/>
        <w:ind w:left="720" w:hanging="720"/>
        <w:jc w:val="both"/>
        <w:rPr>
          <w:rFonts w:ascii="David" w:hAnsi="David"/>
          <w:b/>
          <w:bCs/>
          <w:rtl/>
        </w:rPr>
      </w:pPr>
      <w:r>
        <w:rPr>
          <w:rFonts w:ascii="David" w:hAnsi="David"/>
          <w:b/>
          <w:bCs/>
          <w:rtl/>
        </w:rPr>
        <w:t xml:space="preserve">15. </w:t>
      </w:r>
      <w:r>
        <w:rPr>
          <w:rFonts w:ascii="David" w:hAnsi="David"/>
          <w:b/>
          <w:bCs/>
          <w:rtl/>
        </w:rPr>
        <w:tab/>
        <w:t>העובדה שכל הצדדים מסכימים כי התביעה תידון בבית משפט זה, אינה מקנה לבית המשפט את הסמכות העניי</w:t>
      </w:r>
      <w:r w:rsidR="00A41E0F">
        <w:rPr>
          <w:rFonts w:ascii="David" w:hAnsi="David"/>
          <w:b/>
          <w:bCs/>
          <w:rtl/>
        </w:rPr>
        <w:t>נית, שעה שזו לא הוקנתה לו בחוק.</w:t>
      </w:r>
      <w:r>
        <w:rPr>
          <w:rFonts w:ascii="David" w:hAnsi="David"/>
          <w:b/>
          <w:bCs/>
          <w:rtl/>
        </w:rPr>
        <w:t>"</w:t>
      </w:r>
    </w:p>
    <w:p w:rsidR="00716A4D" w:rsidRDefault="00716A4D" w:rsidP="00716A4D">
      <w:pPr>
        <w:spacing w:line="360" w:lineRule="auto"/>
        <w:jc w:val="both"/>
        <w:rPr>
          <w:rFonts w:ascii="David" w:hAnsi="David"/>
          <w:b/>
          <w:bCs/>
          <w:rtl/>
        </w:rPr>
      </w:pPr>
    </w:p>
    <w:p w:rsidR="00716A4D" w:rsidRDefault="00716A4D" w:rsidP="00716A4D">
      <w:pPr>
        <w:spacing w:line="360" w:lineRule="auto"/>
        <w:jc w:val="both"/>
        <w:rPr>
          <w:rFonts w:ascii="David" w:hAnsi="David"/>
          <w:rtl/>
        </w:rPr>
      </w:pPr>
      <w:r>
        <w:rPr>
          <w:rFonts w:ascii="David" w:hAnsi="David"/>
          <w:rtl/>
        </w:rPr>
        <w:t xml:space="preserve">המערער לא השלים עם פסק-דינו של בית המשפט קמא ומכאן הערעור שלפנינו. </w:t>
      </w:r>
    </w:p>
    <w:p w:rsidR="00716A4D" w:rsidRDefault="00716A4D" w:rsidP="00716A4D">
      <w:pPr>
        <w:spacing w:line="360" w:lineRule="auto"/>
        <w:jc w:val="both"/>
        <w:rPr>
          <w:rFonts w:ascii="David" w:hAnsi="David"/>
          <w:rtl/>
        </w:rPr>
      </w:pPr>
      <w:r>
        <w:rPr>
          <w:rFonts w:ascii="David" w:hAnsi="David"/>
          <w:rtl/>
        </w:rPr>
        <w:t>המערער טוען, כי על החלטת מנהלי העיזבון לדחות את תביעתו הגיש מסמך שכותרתו היא אמנם "</w:t>
      </w:r>
      <w:r>
        <w:rPr>
          <w:rFonts w:ascii="David" w:hAnsi="David"/>
          <w:b/>
          <w:bCs/>
          <w:rtl/>
        </w:rPr>
        <w:t>כתב ערעור</w:t>
      </w:r>
      <w:r>
        <w:rPr>
          <w:rFonts w:ascii="David" w:hAnsi="David"/>
          <w:rtl/>
        </w:rPr>
        <w:t>" אך מטרתו היא שתביעת החוב שהגיש תיבדק מחדש, על–ידי בית המשפט קמא, ומכאן שהנושא בסמכות בית המשפט קמא. לטענת המערער, ההבחנה לה הפנה ביהמ"ש קמא בין תביעות נגד העיזבון ובין תביעות כנגד מנהלי העיזבון אינה משקפת "מצב ביניים" כבענייננו בו למבקש יש טענות כלפי האופן בו הוכרעה תביעת החוב שלו ע"י מנהלי העיזבון אבל אין לו תביעה כלפי מנהלי העיזבון עצמם ולגישתו "</w:t>
      </w:r>
      <w:r>
        <w:rPr>
          <w:rFonts w:ascii="David" w:hAnsi="David"/>
          <w:b/>
          <w:bCs/>
          <w:rtl/>
        </w:rPr>
        <w:t>לכל היותר כאשר מדובר בהליך שמופנה כנגד העיזבון (ולא כנגד מנהל העיזבון) קיימת סמכות מקבילה הן לערכאה שמינתה את מנהל העיזבון והן לערכאה אחרת שתדון בתביעה חדשה</w:t>
      </w:r>
      <w:r w:rsidRPr="00A41E0F">
        <w:rPr>
          <w:rFonts w:ascii="David" w:hAnsi="David"/>
          <w:rtl/>
        </w:rPr>
        <w:t>"</w:t>
      </w:r>
      <w:r>
        <w:rPr>
          <w:rFonts w:ascii="David" w:hAnsi="David"/>
          <w:rtl/>
        </w:rPr>
        <w:t>. המערער טוען כי שיקולי ביהמ"ש קמא באשר למורכבות הליך בירור תביעת החוב כלל אינה רלוונטית לשאלת הס</w:t>
      </w:r>
      <w:r w:rsidR="00A41E0F">
        <w:rPr>
          <w:rFonts w:ascii="David" w:hAnsi="David"/>
          <w:rtl/>
        </w:rPr>
        <w:t xml:space="preserve">מכות, היא נעדרת כל עיגון בדין, וכי </w:t>
      </w:r>
      <w:r>
        <w:rPr>
          <w:rFonts w:ascii="David" w:hAnsi="David"/>
          <w:rtl/>
        </w:rPr>
        <w:t>גם אם ההבחנה רלוונטית הרי שההליך הנוסף שנתבקש אינו מורכב. עוד טוען המערער כי יש לעשות היקש בעניינו "</w:t>
      </w:r>
      <w:r>
        <w:rPr>
          <w:rFonts w:ascii="David" w:hAnsi="David"/>
          <w:b/>
          <w:bCs/>
          <w:rtl/>
        </w:rPr>
        <w:t>לסעיף שבו כן מוסדרת פנייה לערכאה גבוהה יותר על החלטות שניתנו במסגרת תביעת חוב ושם אין הבחנה ב</w:t>
      </w:r>
      <w:r w:rsidR="00A41E0F">
        <w:rPr>
          <w:rFonts w:ascii="David" w:hAnsi="David"/>
          <w:b/>
          <w:bCs/>
          <w:rtl/>
        </w:rPr>
        <w:t>ין הליך מורכב להליך שאינו מורכב</w:t>
      </w:r>
      <w:r>
        <w:rPr>
          <w:rFonts w:ascii="David" w:hAnsi="David"/>
          <w:b/>
          <w:bCs/>
          <w:rtl/>
        </w:rPr>
        <w:t xml:space="preserve"> - סעיף 215 לחוק חדלות פירעון ושיקום כלכלי, תשע"ח – 2018 הקובע, כי "מי שרואה את עצמו נפגע מהחלטת הנאמן בתביעת חוב, רשאי להגיש ערעור על ההחלטה לבית המשפט</w:t>
      </w:r>
      <w:r w:rsidRPr="00A41E0F">
        <w:rPr>
          <w:rFonts w:ascii="David" w:hAnsi="David"/>
          <w:rtl/>
        </w:rPr>
        <w:t>".</w:t>
      </w:r>
      <w:r>
        <w:rPr>
          <w:rFonts w:ascii="David" w:hAnsi="David"/>
          <w:rtl/>
        </w:rPr>
        <w:t xml:space="preserve"> לטענת המערער, בקבלת העמדה לפיה הדרך היחידה להשגה על הכרעות מנהלי עיזבון במסגרת תביעת חוב היא בדרך של הגשת תביעה עצמאית חדשה אז </w:t>
      </w:r>
      <w:r w:rsidRPr="00A41E0F">
        <w:rPr>
          <w:rFonts w:ascii="David" w:hAnsi="David"/>
          <w:rtl/>
        </w:rPr>
        <w:t>"</w:t>
      </w:r>
      <w:r>
        <w:rPr>
          <w:rFonts w:ascii="David" w:hAnsi="David"/>
          <w:b/>
          <w:bCs/>
          <w:rtl/>
        </w:rPr>
        <w:t>למעשה המשמעות הינה שאין ערכאת ערעור על החלטות של מנהלי עיזבון בתביעות חוב בהליכי ניהול עיזבון, ולכאורה הליך בירור תביעת חוב בפני מנהלי העיזבון, עלול, במקרים מסוימים, להיות מיותר</w:t>
      </w:r>
      <w:r w:rsidRPr="00A41E0F">
        <w:rPr>
          <w:rFonts w:ascii="David" w:hAnsi="David"/>
          <w:rtl/>
        </w:rPr>
        <w:t>"</w:t>
      </w:r>
      <w:r>
        <w:rPr>
          <w:rFonts w:ascii="David" w:hAnsi="David"/>
          <w:rtl/>
        </w:rPr>
        <w:t>. עוד טוען המערער כי גם שיקולי יעילות מצדיקים שהבירור על השגה בהכרעת מנהלי העיזבון בתביעת החוב יתקיים בביהמ"ש קמא שכן מעבר לפסים של תביעה רגילה יחייב קיום הליך חדש "</w:t>
      </w:r>
      <w:r>
        <w:rPr>
          <w:rFonts w:ascii="David" w:hAnsi="David"/>
          <w:b/>
          <w:bCs/>
          <w:rtl/>
        </w:rPr>
        <w:t>שמצריך משאבים חדשים ולוקח זמן נוסף...</w:t>
      </w:r>
      <w:r w:rsidR="00A41E0F">
        <w:rPr>
          <w:rFonts w:ascii="David" w:hAnsi="David" w:hint="cs"/>
          <w:b/>
          <w:bCs/>
          <w:rtl/>
        </w:rPr>
        <w:t xml:space="preserve"> </w:t>
      </w:r>
      <w:r>
        <w:rPr>
          <w:rFonts w:ascii="David" w:hAnsi="David"/>
          <w:b/>
          <w:bCs/>
          <w:rtl/>
        </w:rPr>
        <w:t>במידה וימנע הגישה לבית המשפט לענייני משפחה כערכאת ערעור (או בירור) הרי שהדבר יפגע ביכולת של מתדיינים לפנות לערכאות כאשר אין בידם את המשאבים לנהל תיק במסגרת תביעה חדשה כנגד העיזבון"</w:t>
      </w:r>
      <w:r>
        <w:rPr>
          <w:rFonts w:ascii="David" w:hAnsi="David"/>
          <w:rtl/>
        </w:rPr>
        <w:t xml:space="preserve"> (ס' 24-25 לערעור).</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b/>
          <w:bCs/>
          <w:u w:val="single"/>
          <w:rtl/>
        </w:rPr>
      </w:pPr>
      <w:r>
        <w:rPr>
          <w:rFonts w:ascii="David" w:hAnsi="David"/>
          <w:b/>
          <w:bCs/>
          <w:u w:val="single"/>
          <w:rtl/>
        </w:rPr>
        <w:t>דיון והכרעה</w:t>
      </w:r>
    </w:p>
    <w:p w:rsidR="00716A4D" w:rsidRDefault="00716A4D" w:rsidP="00716A4D">
      <w:pPr>
        <w:spacing w:line="360" w:lineRule="auto"/>
        <w:jc w:val="both"/>
        <w:rPr>
          <w:rFonts w:ascii="David" w:hAnsi="David"/>
          <w:b/>
          <w:bCs/>
          <w:u w:val="single"/>
          <w:rtl/>
        </w:rPr>
      </w:pPr>
    </w:p>
    <w:p w:rsidR="00716A4D" w:rsidRDefault="00716A4D" w:rsidP="00716A4D">
      <w:pPr>
        <w:spacing w:line="360" w:lineRule="auto"/>
        <w:jc w:val="both"/>
        <w:rPr>
          <w:rFonts w:ascii="David" w:hAnsi="David"/>
          <w:rtl/>
        </w:rPr>
      </w:pPr>
      <w:r>
        <w:rPr>
          <w:rFonts w:ascii="David" w:hAnsi="David"/>
          <w:rtl/>
        </w:rPr>
        <w:t>לאחר עיון בערעור, ומכוח הסמכות הנתונה לנו לפי תקנה 138(א)</w:t>
      </w:r>
      <w:r w:rsidR="00A41E0F">
        <w:rPr>
          <w:rFonts w:ascii="David" w:hAnsi="David"/>
        </w:rPr>
        <w:t>(1)</w:t>
      </w:r>
      <w:r w:rsidR="00A41E0F">
        <w:rPr>
          <w:rFonts w:ascii="David" w:hAnsi="David" w:hint="cs"/>
          <w:rtl/>
        </w:rPr>
        <w:t xml:space="preserve"> </w:t>
      </w:r>
      <w:r w:rsidRPr="00A41E0F">
        <w:rPr>
          <w:rFonts w:ascii="David" w:hAnsi="David"/>
          <w:b/>
          <w:bCs/>
          <w:rtl/>
        </w:rPr>
        <w:t>לתקנות סדר הדין האזרחי</w:t>
      </w:r>
      <w:r>
        <w:rPr>
          <w:rFonts w:ascii="David" w:hAnsi="David"/>
          <w:rtl/>
        </w:rPr>
        <w:t>, התשע"ט-2018, מצאנו לנכון לדחות את הערעור בלא צורך בתשובת המשיבים</w:t>
      </w:r>
      <w:r>
        <w:rPr>
          <w:rFonts w:ascii="David" w:hAnsi="David"/>
        </w:rPr>
        <w:t>.</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t>קביעת ביהמ"ש קמא לפיו נעדר הוא סמכות לדון בערעור אותו הגיש המערער על הכרעת מנהלי העיזבון בתביעת החוב אותה הגיש להם, כנושה של המוריש, ומכוח הזמנתם לפי הוראת סעיף 99 לחוק הירושה, בדין יסודה.</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t>למעשה, מעיון בהכרעת מנהלי העיזבון בתביעת החוב אותה הגיש המערער (צורפה כנספח 6 להודעת הערעור) הרושם שנוצר הוא כי מנהלי העיזבון הם שתרמו לכך שהמערער בחר לשטוח את השגותיו כלפי הכרעתם בתביעת החוב נגדו במסגרת הודעת הערעור אותה הגיש לפני ביהמ"ש קמא. הטעם לכך פשוט: מנהלי העיזבון חתמו את הכרעתם בתביעת החוב בקביעה תמוהה למדי ולפיה "</w:t>
      </w:r>
      <w:r>
        <w:rPr>
          <w:rFonts w:ascii="David" w:hAnsi="David"/>
          <w:b/>
          <w:bCs/>
          <w:rtl/>
        </w:rPr>
        <w:t>זכות ערעור לבית המשפט לענייני משפחה במועדים הקבועים בדין</w:t>
      </w:r>
      <w:r w:rsidRPr="00DD2C36">
        <w:rPr>
          <w:rFonts w:ascii="David" w:hAnsi="David"/>
          <w:rtl/>
        </w:rPr>
        <w:t>"</w:t>
      </w:r>
      <w:r>
        <w:rPr>
          <w:rFonts w:ascii="David" w:hAnsi="David"/>
          <w:rtl/>
        </w:rPr>
        <w:t>. דא עקא, שאין כל הוראה בדין המקנה לביהמ"ש קמא את הסמכות לברר ערעור, בין בזכות ובין ברשות, על הכרעת מנהל עיזבון בתביעת חוב של נושה. שגגה זו היא שהביאה את המערער להגיש לפני ביהמ"ש קמא את ערעורו על החלטת מנהלי העיזבון, הליך אותו פתח במסגרת תיק משפחה (תמ"ש</w:t>
      </w:r>
      <w:r>
        <w:rPr>
          <w:rFonts w:ascii="David" w:hAnsi="David"/>
        </w:rPr>
        <w:t>(</w:t>
      </w:r>
      <w:r>
        <w:rPr>
          <w:rFonts w:ascii="David" w:hAnsi="David"/>
          <w:rtl/>
        </w:rPr>
        <w:t>, תוך שהוא מציין בכותרת כי "</w:t>
      </w:r>
      <w:r>
        <w:rPr>
          <w:rFonts w:ascii="David" w:hAnsi="David"/>
          <w:b/>
          <w:bCs/>
          <w:rtl/>
        </w:rPr>
        <w:t>המותב המוסמך לדון בערעור</w:t>
      </w:r>
      <w:r w:rsidRPr="00DD2C36">
        <w:rPr>
          <w:rFonts w:ascii="David" w:hAnsi="David"/>
          <w:rtl/>
        </w:rPr>
        <w:t>"</w:t>
      </w:r>
      <w:r>
        <w:rPr>
          <w:rFonts w:ascii="David" w:hAnsi="David"/>
          <w:b/>
          <w:bCs/>
          <w:rtl/>
        </w:rPr>
        <w:t xml:space="preserve"> </w:t>
      </w:r>
      <w:r>
        <w:rPr>
          <w:rFonts w:ascii="David" w:hAnsi="David"/>
          <w:rtl/>
        </w:rPr>
        <w:t xml:space="preserve">הוא בית המשפט לענייני משפחה </w:t>
      </w:r>
      <w:r w:rsidRPr="00DD2C36">
        <w:rPr>
          <w:rFonts w:ascii="David" w:hAnsi="David"/>
          <w:rtl/>
        </w:rPr>
        <w:t>"</w:t>
      </w:r>
      <w:r>
        <w:rPr>
          <w:rFonts w:ascii="David" w:hAnsi="David"/>
          <w:b/>
          <w:bCs/>
          <w:rtl/>
        </w:rPr>
        <w:t>בהתאם לסעיף 1(2) לחוק בית המשפט לענייני משפחה, תשנ"ה 1995</w:t>
      </w:r>
      <w:r>
        <w:rPr>
          <w:rFonts w:ascii="David" w:hAnsi="David"/>
          <w:rtl/>
        </w:rPr>
        <w:t xml:space="preserve">" הגם שסעיף זה (שעניינו בסמכות בית המשפט קמא לדון בתובענה אזרחית, בין אדם או עזבונו לבין בן משפחתו, או עזבונו, שעילתה סכסוך בתוך המשפחה, יהא נושאה או שוויה אשר יהא) אינו רלוונטי לעניינו (והמערער אף אינו טוען אחרת כעת). שגגה זו היא שהביאה בסופו של יום את הצדדים להתייצב לדיון מקדמי לפני ביהמ"ש קמא, כאשר גם מנהלי העיזבון לא ידעו להצביע במפורש על מקור סמכותו של ביהמ"ש קמא להידרש להליך שלפניו. במסגרת אותו דיון </w:t>
      </w:r>
      <w:r w:rsidRPr="00F357B5">
        <w:rPr>
          <w:rFonts w:ascii="David" w:hAnsi="David"/>
          <w:rtl/>
        </w:rPr>
        <w:t>ציין המשיב 6, אחד</w:t>
      </w:r>
      <w:r>
        <w:rPr>
          <w:rFonts w:ascii="David" w:hAnsi="David"/>
          <w:rtl/>
        </w:rPr>
        <w:t xml:space="preserve"> ממנהלי העיזבון, כי הוא סבור שלביהמ"ש הסמכות לדון בהליך "</w:t>
      </w:r>
      <w:r>
        <w:rPr>
          <w:rFonts w:ascii="David" w:hAnsi="David"/>
          <w:b/>
          <w:bCs/>
          <w:rtl/>
        </w:rPr>
        <w:t>לפי חוק הירושה וביהמ"ש צריך להידרש במסגרת הזו. מנהלי העיזבון הם הזרוע הארוכה של בית המשפט</w:t>
      </w:r>
      <w:r w:rsidRPr="00DD2C36">
        <w:rPr>
          <w:rFonts w:ascii="David" w:hAnsi="David"/>
          <w:rtl/>
        </w:rPr>
        <w:t>"</w:t>
      </w:r>
      <w:r w:rsidR="00DD2C36">
        <w:rPr>
          <w:rFonts w:ascii="David" w:hAnsi="David"/>
          <w:rtl/>
        </w:rPr>
        <w:t xml:space="preserve"> (</w:t>
      </w:r>
      <w:r>
        <w:rPr>
          <w:rFonts w:ascii="David" w:hAnsi="David"/>
          <w:rtl/>
        </w:rPr>
        <w:t>עמ' 2 ש' 4-5) אך מנגד ציין, בהגינותו הרבה, כי זו פעם ראשונה שהוא נתקל בערעור על הכרעה בתביעת חוב שניתנת ע"י מנהל העיזבון.</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sidRPr="00F357B5">
        <w:rPr>
          <w:rFonts w:ascii="David" w:hAnsi="David"/>
          <w:rtl/>
        </w:rPr>
        <w:t>הסיבה בגינה מדובר בפעם הראשונה שהמשיב 6,</w:t>
      </w:r>
      <w:r>
        <w:rPr>
          <w:rFonts w:ascii="David" w:hAnsi="David"/>
          <w:rtl/>
        </w:rPr>
        <w:t xml:space="preserve"> עו"ד ותיק ומנוסה אף בניהול עיזבונות, נתקל בערעור על הכרעת חוב בתביעת נושה שהתבררה לפני מנהל עיזב</w:t>
      </w:r>
      <w:r w:rsidR="00DD2C36">
        <w:rPr>
          <w:rFonts w:ascii="David" w:hAnsi="David"/>
          <w:rtl/>
        </w:rPr>
        <w:t>ון</w:t>
      </w:r>
      <w:r>
        <w:rPr>
          <w:rFonts w:ascii="David" w:hAnsi="David"/>
          <w:rtl/>
        </w:rPr>
        <w:t>, היא מהטעם כי פשוט לא קיים הליך כזה. המחוקק לא הקנה בידי בית המשפט קמא, או ערכאה אחרת, סמכות לדון כערכאת ערעור על הכרעת מנהל עיזבון בתביעת חוב של נושה. נושה אינו נזקק לכל הליך ערעור על הכרעה שאינה לרוחו שניתנה ע"י מנהל עיזבון בתביעת חוב שהגיש לפי הזמנת</w:t>
      </w:r>
      <w:r w:rsidR="00DD2C36">
        <w:rPr>
          <w:rFonts w:ascii="David" w:hAnsi="David"/>
          <w:rtl/>
        </w:rPr>
        <w:t xml:space="preserve">ו - </w:t>
      </w:r>
      <w:r>
        <w:rPr>
          <w:rFonts w:ascii="David" w:hAnsi="David"/>
          <w:rtl/>
        </w:rPr>
        <w:t xml:space="preserve">משום שהכרעת מנהל העיזבון בתביעת החוב, תהא אשר תהא, אינה חוסמת את דרכו של הנושה לפנות בתביעה רגילה ובערכאה המתאימה, בגין החוב הנטען של העיזבון כלפיו, בדיוק כפי שהיה עושה מקום בו המנוח היה בחיים והיה מסרב לדרישתו לתשלום החוב הנטען. ראו לעניין זה  ש. שוחט, נ. פינברג ,י. פלומין </w:t>
      </w:r>
      <w:r w:rsidRPr="00780F6F">
        <w:rPr>
          <w:rFonts w:ascii="David" w:hAnsi="David"/>
          <w:b/>
          <w:bCs/>
          <w:rtl/>
        </w:rPr>
        <w:t>דיני ירושה ועיזבון</w:t>
      </w:r>
      <w:r>
        <w:rPr>
          <w:rFonts w:ascii="David" w:hAnsi="David"/>
          <w:rtl/>
        </w:rPr>
        <w:t>, מהדורה שביעית, התשע"ד-2014, בעמ' 233:</w:t>
      </w:r>
    </w:p>
    <w:p w:rsidR="00716A4D" w:rsidRPr="00DD2C36" w:rsidRDefault="00716A4D" w:rsidP="00716A4D">
      <w:pPr>
        <w:spacing w:line="360" w:lineRule="auto"/>
        <w:jc w:val="both"/>
        <w:rPr>
          <w:rFonts w:ascii="David" w:hAnsi="David"/>
          <w:rtl/>
        </w:rPr>
      </w:pPr>
      <w:r>
        <w:rPr>
          <w:rFonts w:ascii="David" w:hAnsi="David"/>
          <w:b/>
          <w:bCs/>
          <w:rtl/>
        </w:rPr>
        <w:t xml:space="preserve">"במסגרת תפקידו לסלק את החובות, מנהל העיזבון מחויב לוודא באמצעות בדיקה ראויה כי אכן החוב הנו חוב אמיתי שיש לפרעו, משום שאם פרע מנהל העיזבון חוב שלא היה צריך לפרעו, </w:t>
      </w:r>
      <w:r>
        <w:rPr>
          <w:rFonts w:ascii="David" w:hAnsi="David"/>
          <w:b/>
          <w:bCs/>
          <w:rtl/>
        </w:rPr>
        <w:lastRenderedPageBreak/>
        <w:t>עשויים היורשים (או הזוכים) לתבעו. במקרה של ספק, מומלץ למנהל העיזבון לפנות לבית המשפט בבקשה למתן הוראות כיצד לנהוג בחוב זה או אחר. כל היכן שיש ספק ממשי, מן הראוי כי מנהל העיזבון ידחה את החוב. או אז יפנה בעל החוב בתביעה כנגד העיזבון. נטל השכנוע בתביעה כזו הנו חמור יותר מהנהוג בתביעה רגילה, וזאת בשל היעדרותו של החייב (המוריש).</w:t>
      </w:r>
      <w:r w:rsidR="00DD2C36">
        <w:rPr>
          <w:rFonts w:ascii="David" w:hAnsi="David" w:hint="cs"/>
          <w:rtl/>
        </w:rPr>
        <w:t>"</w:t>
      </w:r>
    </w:p>
    <w:p w:rsidR="00DD2C36" w:rsidRDefault="00DD2C36"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t xml:space="preserve">ראו לעניין זה גם ש. שוחט וד. שאוה, </w:t>
      </w:r>
      <w:r w:rsidRPr="00780F6F">
        <w:rPr>
          <w:rFonts w:ascii="David" w:hAnsi="David"/>
          <w:b/>
          <w:bCs/>
          <w:rtl/>
        </w:rPr>
        <w:t>סדר הדין בבית המשפט לענייני משפחה</w:t>
      </w:r>
      <w:r>
        <w:rPr>
          <w:rFonts w:ascii="David" w:hAnsi="David"/>
          <w:rtl/>
        </w:rPr>
        <w:t>, הוצאת מחשבות, תש"ע-2009, בעמ' 50:</w:t>
      </w:r>
    </w:p>
    <w:p w:rsidR="00716A4D" w:rsidRPr="00DD2C36" w:rsidRDefault="00716A4D" w:rsidP="00716A4D">
      <w:pPr>
        <w:spacing w:line="360" w:lineRule="auto"/>
        <w:jc w:val="both"/>
        <w:rPr>
          <w:rFonts w:ascii="David" w:hAnsi="David"/>
          <w:rtl/>
        </w:rPr>
      </w:pPr>
      <w:r w:rsidRPr="00DD2C36">
        <w:rPr>
          <w:rFonts w:ascii="David" w:hAnsi="David"/>
          <w:rtl/>
        </w:rPr>
        <w:t>"</w:t>
      </w:r>
      <w:r>
        <w:rPr>
          <w:rFonts w:ascii="David" w:hAnsi="David"/>
          <w:b/>
          <w:bCs/>
          <w:rtl/>
        </w:rPr>
        <w:t>צד שלישי שאינו יורש ואינו בן משפחה, תביעתו נגד העיזבון או תביעת העיזבון נגדו בגין חוב או בשאלת היקף העיזבון תוגש לבית משפט רגיל לפי מבחן שווי התביעה ונושא התביעה. צד כזה אינו יכול להיכנס לגדר סמכותו של בית המשפט לענייני משפחה מכוח סעיף 1(6)(ה) סיפה לחוק משום שאין לו כל זיקה לירושה בין כיורש על פי דין בין כזוכה על פי צוואה, וגם לא מכוח סעיף 1(2) לחוק בית המשפט לענייני משפח</w:t>
      </w:r>
      <w:r w:rsidR="00DD2C36">
        <w:rPr>
          <w:rFonts w:ascii="David" w:hAnsi="David"/>
          <w:b/>
          <w:bCs/>
          <w:rtl/>
        </w:rPr>
        <w:t>ה, שכן איננו בן משפחה של המנוח</w:t>
      </w:r>
      <w:r w:rsidR="00DD2C36" w:rsidRPr="00DD2C36">
        <w:rPr>
          <w:rFonts w:ascii="David" w:hAnsi="David"/>
          <w:rtl/>
        </w:rPr>
        <w:t>"</w:t>
      </w:r>
      <w:r w:rsidRPr="00DD2C36">
        <w:rPr>
          <w:rFonts w:ascii="David" w:hAnsi="David"/>
          <w:rtl/>
        </w:rPr>
        <w:t>.</w:t>
      </w:r>
    </w:p>
    <w:p w:rsidR="00716A4D" w:rsidRDefault="00716A4D" w:rsidP="00716A4D">
      <w:pPr>
        <w:spacing w:line="360" w:lineRule="auto"/>
        <w:jc w:val="both"/>
        <w:rPr>
          <w:rFonts w:ascii="David" w:hAnsi="David"/>
          <w:b/>
          <w:bCs/>
          <w:rtl/>
        </w:rPr>
      </w:pPr>
    </w:p>
    <w:p w:rsidR="00716A4D" w:rsidRDefault="00716A4D" w:rsidP="00716A4D">
      <w:pPr>
        <w:spacing w:line="360" w:lineRule="auto"/>
        <w:jc w:val="both"/>
        <w:rPr>
          <w:rFonts w:ascii="David" w:hAnsi="David"/>
          <w:rtl/>
        </w:rPr>
      </w:pPr>
      <w:r>
        <w:rPr>
          <w:rFonts w:ascii="David" w:hAnsi="David"/>
          <w:rtl/>
        </w:rPr>
        <w:t xml:space="preserve">המערער לא הצביע על כל מקור חוקי מכוחו קנה ביהמ"ש קמא סמכות עניינית לדון בערעור שהגיש על הכרעת מנהלי העיזבון בתביעת החוב והשגותיו כלפיה. גם עמדת המערער לפיה לביהמ"ש קמא קיימת, למצער, סמכות מקבילה </w:t>
      </w:r>
      <w:r w:rsidR="00DD2C36">
        <w:rPr>
          <w:rFonts w:ascii="David" w:hAnsi="David"/>
          <w:rtl/>
        </w:rPr>
        <w:t xml:space="preserve">בעניין - </w:t>
      </w:r>
      <w:r>
        <w:rPr>
          <w:rFonts w:ascii="David" w:hAnsi="David"/>
          <w:rtl/>
        </w:rPr>
        <w:t>טעונה הפנייה למקור חוקי, וערכאה שיפוטית לא קונה סמכות עניינית בנושא שהמחוקק לא הקנה לה, יש מאין. הסכמת הזוכים לפי הצוואה ומנהלי העיזבון לסמכות ביהמ"ש קמא לדון בהליך אינה מורידה ואינה מעלה שכן אינה יכולה ל</w:t>
      </w:r>
      <w:r w:rsidR="00DD2C36">
        <w:rPr>
          <w:rFonts w:ascii="David" w:hAnsi="David"/>
          <w:rtl/>
        </w:rPr>
        <w:t>החליף את גדרי החוק המסמיך (השוו</w:t>
      </w:r>
      <w:r>
        <w:rPr>
          <w:rFonts w:ascii="David" w:hAnsi="David"/>
          <w:rtl/>
        </w:rPr>
        <w:t>: בג"ץ 8638-03 </w:t>
      </w:r>
      <w:r w:rsidRPr="00780F6F">
        <w:rPr>
          <w:rFonts w:ascii="David" w:hAnsi="David"/>
          <w:b/>
          <w:bCs/>
          <w:u w:val="single"/>
          <w:rtl/>
        </w:rPr>
        <w:t>סימה אמיר</w:t>
      </w:r>
      <w:r w:rsidR="00780F6F" w:rsidRPr="00780F6F">
        <w:rPr>
          <w:rFonts w:ascii="David" w:hAnsi="David" w:hint="cs"/>
          <w:b/>
          <w:bCs/>
          <w:u w:val="single"/>
          <w:rtl/>
        </w:rPr>
        <w:t xml:space="preserve"> נ'</w:t>
      </w:r>
      <w:r w:rsidRPr="00780F6F">
        <w:rPr>
          <w:rFonts w:ascii="David" w:hAnsi="David"/>
          <w:b/>
          <w:bCs/>
          <w:u w:val="single"/>
        </w:rPr>
        <w:t> </w:t>
      </w:r>
      <w:r w:rsidRPr="00780F6F">
        <w:rPr>
          <w:rFonts w:ascii="David" w:hAnsi="David"/>
          <w:b/>
          <w:bCs/>
          <w:u w:val="single"/>
          <w:rtl/>
        </w:rPr>
        <w:t>בית הדין הרבני הגדול בירושלים</w:t>
      </w:r>
      <w:r>
        <w:rPr>
          <w:rFonts w:ascii="David" w:hAnsi="David"/>
          <w:rtl/>
        </w:rPr>
        <w:t>, פ"ד סא(1) 259). הפניית המערער להוראת סעיף 215 ל</w:t>
      </w:r>
      <w:r w:rsidRPr="00780F6F">
        <w:rPr>
          <w:rFonts w:ascii="David" w:hAnsi="David"/>
          <w:b/>
          <w:bCs/>
          <w:rtl/>
        </w:rPr>
        <w:t>חוק חדלות פירעון ושיקום כלכלי</w:t>
      </w:r>
      <w:r>
        <w:rPr>
          <w:rFonts w:ascii="David" w:hAnsi="David"/>
          <w:rtl/>
        </w:rPr>
        <w:t>, תשע"ח – 2018,  אך מחזקת את הדברים שהרי בסעיף זה קבע המחוקק את המקור החוקי של בית המשפט המוסמך לפי אותו החוק לדון בערעור על החלטה בעניין תביעת חוב (המוגשת לנאמן) ובעניינו אין כל הוראה שכזו בחוק הירושה, או בחוק אחר, בקשר ל</w:t>
      </w:r>
      <w:r w:rsidR="00780F6F">
        <w:rPr>
          <w:rFonts w:ascii="David" w:hAnsi="David"/>
          <w:rtl/>
        </w:rPr>
        <w:t xml:space="preserve">תביעת חוב המוגשת למנהל עיזבון. </w:t>
      </w:r>
      <w:r>
        <w:rPr>
          <w:rFonts w:ascii="David" w:hAnsi="David"/>
          <w:rtl/>
        </w:rPr>
        <w:t xml:space="preserve">יצוין בהקשר זה כי גם הפניית מנהלי העיזבון בטיעוניהם לפני ביהמ"ש קמא לתמ"ש (ת"א) 4574-02-14 </w:t>
      </w:r>
      <w:r>
        <w:rPr>
          <w:rFonts w:ascii="David" w:hAnsi="David"/>
          <w:b/>
          <w:bCs/>
          <w:u w:val="single"/>
          <w:rtl/>
        </w:rPr>
        <w:t>פלונית נ' עו"ד רן שובל מנהל עיזבון</w:t>
      </w:r>
      <w:r>
        <w:rPr>
          <w:rFonts w:ascii="David" w:hAnsi="David"/>
          <w:rtl/>
        </w:rPr>
        <w:t xml:space="preserve"> </w:t>
      </w:r>
      <w:r w:rsidR="00780F6F">
        <w:rPr>
          <w:rFonts w:ascii="David" w:hAnsi="David"/>
          <w:rtl/>
        </w:rPr>
        <w:t>(פורסם בנבו</w:t>
      </w:r>
      <w:r>
        <w:rPr>
          <w:rFonts w:ascii="David" w:hAnsi="David"/>
          <w:rtl/>
        </w:rPr>
        <w:t>, 8.6.15) כמקרה בו "</w:t>
      </w:r>
      <w:r>
        <w:rPr>
          <w:rFonts w:ascii="David" w:hAnsi="David"/>
          <w:b/>
          <w:bCs/>
          <w:rtl/>
        </w:rPr>
        <w:t>נדון הליך שהוגש ע"י בת כנגד עיזבון אביה וכנגד יורשות המנוח, לאחר שתביעת החוב בפני מנהל העיזבון, נדחתה על-ידו</w:t>
      </w:r>
      <w:r>
        <w:rPr>
          <w:rFonts w:ascii="David" w:hAnsi="David"/>
          <w:rtl/>
        </w:rPr>
        <w:t>", אין בה כדי להועיל לביסוס טענות המערער. יוזמת ההליך באותו המקרה הנדון, בת המנוח שטענה שהיא גם נושה של העיזבון, לא הגישה ערעור על הכרעת מנהל העיזבון שדחה את תביעת החוב מטעמה. היא הגישה תביעה כספית נגד העיזבון בגין שיפוץ נטען שביצעה בדירה ששייכת לעיזבון ולהחזר השקעותיה וטענה כי יש לראות באלו חוב של העיזבון כלפיה. התביעה התבררה לפני ביהמ"ש לענייני משפחה לא משום שהוא זה שמינה את מנהל העיזבון שדחה בשעתו את תביעת החוב שהגישה, אלא מכוח הוראת סעיף 1(2) ל</w:t>
      </w:r>
      <w:r w:rsidRPr="00780F6F">
        <w:rPr>
          <w:rFonts w:ascii="David" w:hAnsi="David"/>
          <w:b/>
          <w:bCs/>
          <w:rtl/>
        </w:rPr>
        <w:t>חוק בית המשפט לענייני משפחה</w:t>
      </w:r>
      <w:r>
        <w:rPr>
          <w:rFonts w:ascii="David" w:hAnsi="David"/>
          <w:rtl/>
        </w:rPr>
        <w:t>, זאת משום שהצדדים לה היו בני משפחה ועילתה סכסוך בתוך המשפחה.</w:t>
      </w:r>
    </w:p>
    <w:p w:rsidR="00716A4D" w:rsidRDefault="00716A4D" w:rsidP="00716A4D">
      <w:pPr>
        <w:spacing w:line="360" w:lineRule="auto"/>
        <w:jc w:val="both"/>
        <w:rPr>
          <w:rFonts w:ascii="David" w:hAnsi="David"/>
          <w:rtl/>
        </w:rPr>
      </w:pPr>
    </w:p>
    <w:p w:rsidR="00716A4D" w:rsidRDefault="00716A4D" w:rsidP="00716A4D">
      <w:pPr>
        <w:spacing w:line="360" w:lineRule="auto"/>
        <w:jc w:val="both"/>
        <w:rPr>
          <w:rFonts w:ascii="David" w:hAnsi="David"/>
          <w:rtl/>
        </w:rPr>
      </w:pPr>
      <w:r>
        <w:rPr>
          <w:rFonts w:ascii="David" w:hAnsi="David"/>
          <w:rtl/>
        </w:rPr>
        <w:lastRenderedPageBreak/>
        <w:t xml:space="preserve">כאמור, ההליך אותו יזם המערער ושנדחה ע"י ביהמ"ש קמא בפסק-דינו אינו בקשה למתן הוראות. הליך מתן ההוראות הינו הליך פנימי מקוצר, שנועד להנחות את מנהל העיזבון, כנושא תפקיד מטעם בית המשפט במילוי תפקידו. בבע"מ 7075/12 </w:t>
      </w:r>
      <w:r>
        <w:rPr>
          <w:rFonts w:ascii="David" w:hAnsi="David"/>
          <w:b/>
          <w:bCs/>
          <w:u w:val="single"/>
          <w:rtl/>
        </w:rPr>
        <w:t>פלונית נ' פלוני</w:t>
      </w:r>
      <w:r w:rsidRPr="00780F6F">
        <w:rPr>
          <w:rFonts w:ascii="David" w:hAnsi="David"/>
          <w:rtl/>
        </w:rPr>
        <w:t xml:space="preserve"> (</w:t>
      </w:r>
      <w:r>
        <w:rPr>
          <w:rFonts w:ascii="David" w:hAnsi="David"/>
          <w:rtl/>
        </w:rPr>
        <w:t>5.5.2013) הבהיר בית המשפט העליון כי במסגרת בקשה למתן הוראות מוסמך בית המשפט להכריע בפלוגתא שבין בעל תפקיד ובין צד שלישי בהתקיים שלושה תנאים מצטברים: בירור המחלוקת בהליך מסוג זה נחוץ לבעל התפקיד לשם ביצוע יעיל וראוי של תפקידו; ליבון המחלוקת אינו מצריך בירור עובדתי מורכב; הבירור בדרך של בקשה למתן הוראות אינו גורם לעיוות דין או לפגיעה בזכויות דיוניות או מהותיות של בעל הדין (ראו בהרחבה ש. שוחט, נ. פינברג, י. פלומין,</w:t>
      </w:r>
      <w:r w:rsidRPr="00780F6F">
        <w:rPr>
          <w:rFonts w:ascii="David" w:hAnsi="David"/>
          <w:b/>
          <w:bCs/>
          <w:rtl/>
        </w:rPr>
        <w:t xml:space="preserve"> דיני ירושה ועיזבון</w:t>
      </w:r>
      <w:r>
        <w:rPr>
          <w:rFonts w:ascii="David" w:hAnsi="David"/>
          <w:rtl/>
        </w:rPr>
        <w:t>, בעמ' 218 והאסמכתאות המובאות שם). בענייננו, המערער לא הגיש בקשה למתן הוראות למנהלי העיזבון שמונו אלא ערעור על הכרעתם. במסגרת ההליך אותו יזם המערער הוא כלל לא ביקש מביהמ"ש קמא להנחות או לתת הוראות למנהלי העיזבון שמונו אלא עתירתו הייתה כי ביהמ"ש קמא יכריע בערעורו ויקבל את תביעת החוב אותה הגיש ושנדחתה ע"י מנהלי העיזבון. לא נדרשו כלל הוראות למנהלי העיזבון בקשר לבירור תביעת החוב מטעם המערער, שכן מלאכתם של מנהלי העיזבון בעניין זה תמה ונשלמה עם דחיית תביעת החוב על-ידם.</w:t>
      </w:r>
    </w:p>
    <w:p w:rsidR="00716A4D" w:rsidRDefault="00716A4D" w:rsidP="00716A4D">
      <w:pPr>
        <w:pStyle w:val="ruller4"/>
        <w:bidi/>
        <w:spacing w:before="0" w:beforeAutospacing="0" w:after="0" w:afterAutospacing="0" w:line="360" w:lineRule="auto"/>
        <w:jc w:val="both"/>
        <w:rPr>
          <w:rFonts w:ascii="David" w:hAnsi="David" w:cs="David"/>
          <w:color w:val="000000"/>
          <w:spacing w:val="10"/>
          <w:rtl/>
        </w:rPr>
      </w:pPr>
    </w:p>
    <w:p w:rsidR="00716A4D" w:rsidRDefault="00716A4D" w:rsidP="00716A4D">
      <w:pPr>
        <w:pStyle w:val="ruller4"/>
        <w:bidi/>
        <w:spacing w:before="0" w:beforeAutospacing="0" w:after="0" w:afterAutospacing="0" w:line="360" w:lineRule="auto"/>
        <w:jc w:val="both"/>
        <w:rPr>
          <w:rFonts w:ascii="David" w:hAnsi="David" w:cs="David"/>
          <w:b/>
          <w:bCs/>
          <w:color w:val="000000"/>
          <w:spacing w:val="10"/>
          <w:u w:val="single"/>
        </w:rPr>
      </w:pPr>
      <w:r>
        <w:rPr>
          <w:rFonts w:ascii="David" w:hAnsi="David" w:cs="David"/>
          <w:b/>
          <w:bCs/>
          <w:color w:val="000000"/>
          <w:u w:val="single"/>
          <w:rtl/>
        </w:rPr>
        <w:t>סוף דבר</w:t>
      </w:r>
    </w:p>
    <w:p w:rsidR="00716A4D" w:rsidRDefault="00716A4D" w:rsidP="00716A4D">
      <w:pPr>
        <w:pStyle w:val="ruller4"/>
        <w:bidi/>
        <w:spacing w:before="0" w:beforeAutospacing="0" w:after="0" w:afterAutospacing="0" w:line="360" w:lineRule="auto"/>
        <w:jc w:val="both"/>
        <w:rPr>
          <w:rFonts w:ascii="David" w:hAnsi="David" w:cs="David"/>
          <w:color w:val="000000"/>
          <w:spacing w:val="10"/>
          <w:rtl/>
        </w:rPr>
      </w:pPr>
      <w:r>
        <w:rPr>
          <w:rFonts w:ascii="David" w:hAnsi="David" w:cs="David"/>
          <w:color w:val="000000"/>
          <w:rtl/>
        </w:rPr>
        <w:t> </w:t>
      </w:r>
    </w:p>
    <w:p w:rsidR="00716A4D" w:rsidRPr="00780F6F" w:rsidRDefault="00716A4D" w:rsidP="00716A4D">
      <w:pPr>
        <w:pStyle w:val="ruller40"/>
        <w:bidi/>
        <w:spacing w:before="0" w:beforeAutospacing="0" w:after="0" w:afterAutospacing="0" w:line="360" w:lineRule="auto"/>
        <w:jc w:val="both"/>
        <w:rPr>
          <w:rFonts w:ascii="David" w:hAnsi="David" w:cs="David"/>
          <w:color w:val="000000"/>
          <w:rtl/>
        </w:rPr>
      </w:pPr>
      <w:r w:rsidRPr="00780F6F">
        <w:rPr>
          <w:rFonts w:ascii="David" w:hAnsi="David" w:cs="David"/>
          <w:color w:val="000000"/>
          <w:rtl/>
        </w:rPr>
        <w:t xml:space="preserve">הערעור נדחה בלא צורך בתשובה מאת המשיבים. </w:t>
      </w:r>
    </w:p>
    <w:p w:rsidR="00716A4D" w:rsidRPr="00780F6F" w:rsidRDefault="00780F6F" w:rsidP="00716A4D">
      <w:pPr>
        <w:pStyle w:val="ruller40"/>
        <w:bidi/>
        <w:spacing w:before="0" w:beforeAutospacing="0" w:after="0" w:afterAutospacing="0" w:line="360" w:lineRule="auto"/>
        <w:jc w:val="both"/>
        <w:rPr>
          <w:rFonts w:ascii="David" w:hAnsi="David" w:cs="David"/>
          <w:color w:val="000000"/>
          <w:rtl/>
        </w:rPr>
      </w:pPr>
      <w:r>
        <w:rPr>
          <w:rFonts w:ascii="David" w:hAnsi="David" w:cs="David"/>
          <w:color w:val="000000"/>
          <w:rtl/>
        </w:rPr>
        <w:t xml:space="preserve">משלא התבקשה תשובה </w:t>
      </w:r>
      <w:r w:rsidR="00716A4D" w:rsidRPr="00780F6F">
        <w:rPr>
          <w:rFonts w:ascii="David" w:hAnsi="David" w:cs="David"/>
          <w:color w:val="000000"/>
          <w:rtl/>
        </w:rPr>
        <w:t xml:space="preserve">אין צו להוצאות. </w:t>
      </w:r>
    </w:p>
    <w:p w:rsidR="00716A4D" w:rsidRPr="00780F6F" w:rsidRDefault="00716A4D" w:rsidP="00716A4D">
      <w:pPr>
        <w:pStyle w:val="ruller40"/>
        <w:bidi/>
        <w:spacing w:before="0" w:beforeAutospacing="0" w:after="0" w:afterAutospacing="0" w:line="360" w:lineRule="auto"/>
        <w:jc w:val="both"/>
        <w:rPr>
          <w:rFonts w:ascii="David" w:hAnsi="David" w:cs="David"/>
          <w:color w:val="000000"/>
          <w:rtl/>
        </w:rPr>
      </w:pPr>
      <w:r w:rsidRPr="00780F6F">
        <w:rPr>
          <w:rFonts w:ascii="David" w:hAnsi="David" w:cs="David"/>
          <w:color w:val="000000"/>
          <w:rtl/>
        </w:rPr>
        <w:t xml:space="preserve">העירבון, על פירותיו, יושב למערער באמצעות בא כוחו. </w:t>
      </w:r>
    </w:p>
    <w:p w:rsidR="00716A4D" w:rsidRPr="00780F6F" w:rsidRDefault="00716A4D" w:rsidP="00716A4D">
      <w:pPr>
        <w:pStyle w:val="ruller40"/>
        <w:bidi/>
        <w:spacing w:before="0" w:beforeAutospacing="0" w:after="0" w:afterAutospacing="0" w:line="360" w:lineRule="auto"/>
        <w:jc w:val="both"/>
        <w:rPr>
          <w:rFonts w:ascii="David" w:hAnsi="David" w:cs="David"/>
          <w:color w:val="000000"/>
          <w:rtl/>
        </w:rPr>
      </w:pPr>
    </w:p>
    <w:p w:rsidR="00716A4D" w:rsidRPr="00780F6F" w:rsidRDefault="00716A4D" w:rsidP="00716A4D">
      <w:pPr>
        <w:pStyle w:val="ruller40"/>
        <w:bidi/>
        <w:spacing w:before="0" w:beforeAutospacing="0" w:after="0" w:afterAutospacing="0" w:line="360" w:lineRule="auto"/>
        <w:jc w:val="both"/>
        <w:rPr>
          <w:rFonts w:ascii="David" w:hAnsi="David" w:cs="David"/>
          <w:color w:val="000000"/>
          <w:rtl/>
        </w:rPr>
      </w:pPr>
      <w:r w:rsidRPr="00780F6F">
        <w:rPr>
          <w:rFonts w:ascii="David" w:hAnsi="David" w:cs="David"/>
          <w:color w:val="000000"/>
          <w:rtl/>
        </w:rPr>
        <w:t>אנו מתירים פרסום פסק-הדין במתכונת בה נחתם, בהיעדר שמות הצדדים ופרטים מזהים אחרים.</w:t>
      </w:r>
    </w:p>
    <w:p w:rsidR="00694556" w:rsidRPr="00780F6F" w:rsidRDefault="00716A4D" w:rsidP="00780F6F">
      <w:pPr>
        <w:pStyle w:val="ruller4"/>
        <w:bidi/>
        <w:spacing w:before="0" w:beforeAutospacing="0" w:after="0" w:afterAutospacing="0" w:line="360" w:lineRule="auto"/>
        <w:jc w:val="both"/>
        <w:rPr>
          <w:rFonts w:ascii="David" w:hAnsi="David" w:cs="David"/>
          <w:color w:val="000000"/>
          <w:rtl/>
        </w:rPr>
      </w:pPr>
      <w:r w:rsidRPr="00780F6F">
        <w:rPr>
          <w:rFonts w:ascii="David" w:hAnsi="David" w:cs="David"/>
          <w:color w:val="000000"/>
          <w:rtl/>
        </w:rPr>
        <w:t>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מאי 2023</w:t>
          </w:r>
        </w:sdtContent>
      </w:sdt>
      <w:r w:rsidR="00005C8B">
        <w:rPr>
          <w:rFonts w:ascii="Arial" w:hAnsi="Arial"/>
          <w:noProof w:val="0"/>
          <w:rtl/>
        </w:rPr>
        <w:t>, בהעדר הצדדים.</w:t>
      </w:r>
    </w:p>
    <w:p w:rsidR="00C43648" w:rsidRDefault="00CD7B2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780F6F" w:rsidRPr="001B00AE" w:rsidRDefault="00780F6F"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780F6F" w:rsidRPr="00861D25" w:rsidTr="000661B2">
        <w:trPr>
          <w:trHeight w:val="1400"/>
        </w:trPr>
        <w:tc>
          <w:tcPr>
            <w:tcW w:w="2988" w:type="dxa"/>
            <w:tcBorders>
              <w:top w:val="nil"/>
              <w:left w:val="nil"/>
              <w:bottom w:val="single" w:sz="4" w:space="0" w:color="auto"/>
              <w:right w:val="nil"/>
            </w:tcBorders>
            <w:vAlign w:val="center"/>
          </w:tcPr>
          <w:p w:rsidR="00780F6F" w:rsidRPr="00861D25" w:rsidRDefault="00780F6F"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780F6F" w:rsidRPr="00861D25" w:rsidRDefault="00780F6F"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780F6F" w:rsidRPr="00861D25" w:rsidRDefault="00780F6F" w:rsidP="00861D25">
            <w:pPr>
              <w:jc w:val="center"/>
              <w:rPr>
                <w:rFonts w:ascii="Courier New" w:hAnsi="Courier New"/>
                <w:b/>
                <w:bCs/>
                <w:sz w:val="20"/>
                <w:szCs w:val="20"/>
                <w:rtl/>
                <w:lang w:eastAsia="he-IL"/>
              </w:rPr>
            </w:pPr>
            <w:r>
              <w:drawing>
                <wp:inline distT="0" distB="0" distL="0" distR="0" wp14:anchorId="05E1CA39" wp14:editId="4217AA60">
                  <wp:extent cx="1282700" cy="558165"/>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a:ln>
                            <a:noFill/>
                          </a:ln>
                        </pic:spPr>
                      </pic:pic>
                    </a:graphicData>
                  </a:graphic>
                </wp:inline>
              </w:drawing>
            </w:r>
          </w:p>
          <w:p w:rsidR="00780F6F" w:rsidRPr="00861D25" w:rsidRDefault="00780F6F" w:rsidP="00861D25">
            <w:pPr>
              <w:jc w:val="center"/>
              <w:rPr>
                <w:rFonts w:ascii="Courier New" w:hAnsi="Courier New"/>
                <w:b/>
                <w:bCs/>
                <w:sz w:val="20"/>
                <w:szCs w:val="20"/>
                <w:lang w:eastAsia="he-IL"/>
              </w:rPr>
            </w:pPr>
          </w:p>
        </w:tc>
        <w:tc>
          <w:tcPr>
            <w:tcW w:w="303" w:type="dxa"/>
            <w:vAlign w:val="center"/>
          </w:tcPr>
          <w:p w:rsidR="00780F6F" w:rsidRPr="00861D25" w:rsidRDefault="00780F6F"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780F6F" w:rsidRPr="00861D25" w:rsidRDefault="00780F6F"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333500" cy="533400"/>
                          </a:xfrm>
                          <a:prstGeom prst="rect">
                            <a:avLst/>
                          </a:prstGeom>
                        </pic:spPr>
                      </pic:pic>
                    </a:graphicData>
                  </a:graphic>
                </wp:inline>
              </w:drawing>
            </w:r>
          </w:p>
        </w:tc>
      </w:tr>
      <w:tr w:rsidR="00780F6F" w:rsidRPr="00861D25" w:rsidTr="000661B2">
        <w:trPr>
          <w:trHeight w:val="580"/>
        </w:trPr>
        <w:tc>
          <w:tcPr>
            <w:tcW w:w="2988" w:type="dxa"/>
            <w:tcBorders>
              <w:top w:val="single" w:sz="4" w:space="0" w:color="auto"/>
              <w:left w:val="nil"/>
              <w:bottom w:val="nil"/>
              <w:right w:val="nil"/>
            </w:tcBorders>
            <w:vAlign w:val="center"/>
          </w:tcPr>
          <w:p w:rsidR="00780F6F" w:rsidRPr="00861D25" w:rsidRDefault="00780F6F"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780F6F" w:rsidRPr="00861D25" w:rsidRDefault="00780F6F"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780F6F" w:rsidRPr="00861D25" w:rsidRDefault="00780F6F"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780F6F" w:rsidRPr="00861D25" w:rsidRDefault="00780F6F"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780F6F" w:rsidRPr="00861D25" w:rsidRDefault="00780F6F" w:rsidP="00861D25">
            <w:pPr>
              <w:jc w:val="center"/>
              <w:rPr>
                <w:rFonts w:ascii="Courier New" w:hAnsi="Courier New"/>
                <w:b/>
                <w:bCs/>
                <w:lang w:eastAsia="he-IL"/>
              </w:rPr>
            </w:pPr>
          </w:p>
        </w:tc>
        <w:tc>
          <w:tcPr>
            <w:tcW w:w="303" w:type="dxa"/>
            <w:vAlign w:val="center"/>
          </w:tcPr>
          <w:p w:rsidR="00780F6F" w:rsidRPr="00861D25" w:rsidRDefault="00780F6F"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780F6F" w:rsidRPr="00861D25" w:rsidRDefault="00780F6F"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780F6F" w:rsidRPr="00861D25" w:rsidRDefault="00780F6F" w:rsidP="00861D25">
            <w:pPr>
              <w:jc w:val="center"/>
              <w:rPr>
                <w:rFonts w:ascii="Courier New" w:hAnsi="Courier New"/>
                <w:b/>
                <w:bCs/>
                <w:lang w:eastAsia="he-IL"/>
              </w:rPr>
            </w:pPr>
          </w:p>
        </w:tc>
      </w:tr>
    </w:tbl>
    <w:p w:rsidR="00780F6F" w:rsidRPr="001B00AE" w:rsidRDefault="00780F6F" w:rsidP="001B00AE">
      <w:pPr>
        <w:rPr>
          <w:rtl/>
          <w:lang w:eastAsia="he-IL"/>
        </w:rPr>
      </w:pPr>
    </w:p>
    <w:p w:rsidR="00694556" w:rsidRDefault="00BD6531" w:rsidP="00780F6F">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0"/>
      <w:headerReference w:type="default" r:id="rId11"/>
      <w:footerReference w:type="even" r:id="rId12"/>
      <w:footerReference w:type="default" r:id="rId13"/>
      <w:headerReference w:type="first" r:id="rId14"/>
      <w:footerReference w:type="first" r:id="rId15"/>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B2E" w:rsidRDefault="00CD7B2E">
      <w:r>
        <w:separator/>
      </w:r>
    </w:p>
  </w:endnote>
  <w:endnote w:type="continuationSeparator" w:id="0">
    <w:p w:rsidR="00CD7B2E" w:rsidRDefault="00CD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01C" w:rsidRDefault="004240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48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4819">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01C" w:rsidRDefault="004240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B2E" w:rsidRDefault="00CD7B2E">
      <w:r>
        <w:separator/>
      </w:r>
    </w:p>
  </w:footnote>
  <w:footnote w:type="continuationSeparator" w:id="0">
    <w:p w:rsidR="00CD7B2E" w:rsidRDefault="00CD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01C" w:rsidRDefault="004240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CD7B2E" w:rsidP="005410BD">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52593-03-23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5410BD">
                <w:rPr>
                  <w:rFonts w:hint="cs"/>
                  <w:b/>
                  <w:bCs/>
                  <w:noProof w:val="0"/>
                  <w:sz w:val="26"/>
                  <w:szCs w:val="26"/>
                  <w:rtl/>
                </w:rPr>
                <w:t>פלוני</w:t>
              </w:r>
              <w:r w:rsidR="008D3BCC">
                <w:rPr>
                  <w:b/>
                  <w:bCs/>
                  <w:noProof w:val="0"/>
                  <w:sz w:val="26"/>
                  <w:szCs w:val="26"/>
                  <w:rtl/>
                </w:rPr>
                <w:t xml:space="preserve"> נ' </w:t>
              </w:r>
              <w:r w:rsidR="005410BD">
                <w:rPr>
                  <w:rFonts w:hint="cs"/>
                  <w:b/>
                  <w:bCs/>
                  <w:noProof w:val="0"/>
                  <w:sz w:val="26"/>
                  <w:szCs w:val="26"/>
                  <w:rtl/>
                </w:rPr>
                <w:t>אלמוני</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01C" w:rsidRDefault="0042401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96D"/>
    <w:rsid w:val="000F0BC8"/>
    <w:rsid w:val="000F0DD6"/>
    <w:rsid w:val="00107E6D"/>
    <w:rsid w:val="0011194C"/>
    <w:rsid w:val="0011424C"/>
    <w:rsid w:val="001173C6"/>
    <w:rsid w:val="001367BC"/>
    <w:rsid w:val="00137195"/>
    <w:rsid w:val="00144D2A"/>
    <w:rsid w:val="0014653E"/>
    <w:rsid w:val="00180519"/>
    <w:rsid w:val="00191C82"/>
    <w:rsid w:val="001B48A4"/>
    <w:rsid w:val="001C3FD7"/>
    <w:rsid w:val="001C4003"/>
    <w:rsid w:val="001C5B01"/>
    <w:rsid w:val="001D3441"/>
    <w:rsid w:val="001D4DBF"/>
    <w:rsid w:val="001E75CA"/>
    <w:rsid w:val="001F5DB6"/>
    <w:rsid w:val="002265FF"/>
    <w:rsid w:val="00271B56"/>
    <w:rsid w:val="00291593"/>
    <w:rsid w:val="002C344E"/>
    <w:rsid w:val="002E75E9"/>
    <w:rsid w:val="00307A6A"/>
    <w:rsid w:val="00307C40"/>
    <w:rsid w:val="00320433"/>
    <w:rsid w:val="003230C7"/>
    <w:rsid w:val="00327E50"/>
    <w:rsid w:val="0033597A"/>
    <w:rsid w:val="00343D89"/>
    <w:rsid w:val="00362612"/>
    <w:rsid w:val="0036743F"/>
    <w:rsid w:val="003715DD"/>
    <w:rsid w:val="003763AB"/>
    <w:rsid w:val="003823E0"/>
    <w:rsid w:val="003A4521"/>
    <w:rsid w:val="003D1C8C"/>
    <w:rsid w:val="0040096C"/>
    <w:rsid w:val="00414F1F"/>
    <w:rsid w:val="0042401C"/>
    <w:rsid w:val="0043125D"/>
    <w:rsid w:val="0043502B"/>
    <w:rsid w:val="004443AC"/>
    <w:rsid w:val="00451E28"/>
    <w:rsid w:val="00462C62"/>
    <w:rsid w:val="00465D36"/>
    <w:rsid w:val="004A6EB9"/>
    <w:rsid w:val="004C17EE"/>
    <w:rsid w:val="004C4BDF"/>
    <w:rsid w:val="004D1187"/>
    <w:rsid w:val="004D3AA0"/>
    <w:rsid w:val="004E1987"/>
    <w:rsid w:val="004E2E15"/>
    <w:rsid w:val="004E6E3C"/>
    <w:rsid w:val="004F6A3D"/>
    <w:rsid w:val="00513175"/>
    <w:rsid w:val="00520898"/>
    <w:rsid w:val="00523621"/>
    <w:rsid w:val="00524986"/>
    <w:rsid w:val="005268F6"/>
    <w:rsid w:val="00534284"/>
    <w:rsid w:val="005410BD"/>
    <w:rsid w:val="0054494A"/>
    <w:rsid w:val="00547DB7"/>
    <w:rsid w:val="00555E2B"/>
    <w:rsid w:val="005630EA"/>
    <w:rsid w:val="00567413"/>
    <w:rsid w:val="005D4819"/>
    <w:rsid w:val="005F4F09"/>
    <w:rsid w:val="0061431B"/>
    <w:rsid w:val="00617CEE"/>
    <w:rsid w:val="00622BAA"/>
    <w:rsid w:val="006306CF"/>
    <w:rsid w:val="00644E9A"/>
    <w:rsid w:val="00671BD5"/>
    <w:rsid w:val="00676CD8"/>
    <w:rsid w:val="006805C1"/>
    <w:rsid w:val="00686C21"/>
    <w:rsid w:val="006931C1"/>
    <w:rsid w:val="00694556"/>
    <w:rsid w:val="006C30C5"/>
    <w:rsid w:val="006D3B31"/>
    <w:rsid w:val="006E0D96"/>
    <w:rsid w:val="006E1A53"/>
    <w:rsid w:val="006E4371"/>
    <w:rsid w:val="006F56E6"/>
    <w:rsid w:val="00704EDA"/>
    <w:rsid w:val="00716A4D"/>
    <w:rsid w:val="00721122"/>
    <w:rsid w:val="00744B1C"/>
    <w:rsid w:val="00753019"/>
    <w:rsid w:val="00754801"/>
    <w:rsid w:val="00780F6F"/>
    <w:rsid w:val="00795365"/>
    <w:rsid w:val="007A351D"/>
    <w:rsid w:val="007B7765"/>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8D3BCC"/>
    <w:rsid w:val="00903896"/>
    <w:rsid w:val="00906F3D"/>
    <w:rsid w:val="0094424E"/>
    <w:rsid w:val="00955642"/>
    <w:rsid w:val="009622DF"/>
    <w:rsid w:val="00967DFF"/>
    <w:rsid w:val="00994341"/>
    <w:rsid w:val="009B4939"/>
    <w:rsid w:val="009D1A48"/>
    <w:rsid w:val="009E1CE7"/>
    <w:rsid w:val="009E4EA5"/>
    <w:rsid w:val="009F164B"/>
    <w:rsid w:val="009F323C"/>
    <w:rsid w:val="00A3392B"/>
    <w:rsid w:val="00A41E0F"/>
    <w:rsid w:val="00A94B64"/>
    <w:rsid w:val="00AA3229"/>
    <w:rsid w:val="00AA7596"/>
    <w:rsid w:val="00AB5E52"/>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679AF"/>
    <w:rsid w:val="00CC7622"/>
    <w:rsid w:val="00CD608F"/>
    <w:rsid w:val="00CD7B2E"/>
    <w:rsid w:val="00D27982"/>
    <w:rsid w:val="00D33B86"/>
    <w:rsid w:val="00D537D0"/>
    <w:rsid w:val="00D53924"/>
    <w:rsid w:val="00D55D0C"/>
    <w:rsid w:val="00D627CF"/>
    <w:rsid w:val="00D74378"/>
    <w:rsid w:val="00D96D8C"/>
    <w:rsid w:val="00DA6649"/>
    <w:rsid w:val="00DC1259"/>
    <w:rsid w:val="00DC1BD2"/>
    <w:rsid w:val="00DC2571"/>
    <w:rsid w:val="00DC487C"/>
    <w:rsid w:val="00DD2C36"/>
    <w:rsid w:val="00DE6BF6"/>
    <w:rsid w:val="00E02FCC"/>
    <w:rsid w:val="00E1068A"/>
    <w:rsid w:val="00E25884"/>
    <w:rsid w:val="00E25B55"/>
    <w:rsid w:val="00E31C2B"/>
    <w:rsid w:val="00E37181"/>
    <w:rsid w:val="00E42743"/>
    <w:rsid w:val="00E5426A"/>
    <w:rsid w:val="00E54642"/>
    <w:rsid w:val="00E80CBE"/>
    <w:rsid w:val="00E961E9"/>
    <w:rsid w:val="00E962E3"/>
    <w:rsid w:val="00EB6C79"/>
    <w:rsid w:val="00EC37E9"/>
    <w:rsid w:val="00F06995"/>
    <w:rsid w:val="00F13623"/>
    <w:rsid w:val="00F357B5"/>
    <w:rsid w:val="00F44D1D"/>
    <w:rsid w:val="00F51C13"/>
    <w:rsid w:val="00F84B6D"/>
    <w:rsid w:val="00F85C37"/>
    <w:rsid w:val="00F93F58"/>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ruller4">
    <w:name w:val="ruller4"/>
    <w:basedOn w:val="a"/>
    <w:rsid w:val="00716A4D"/>
    <w:pPr>
      <w:bidi w:val="0"/>
      <w:spacing w:before="100" w:beforeAutospacing="1" w:after="100" w:afterAutospacing="1"/>
    </w:pPr>
    <w:rPr>
      <w:rFonts w:cs="Times New Roman"/>
      <w:noProof w:val="0"/>
    </w:rPr>
  </w:style>
  <w:style w:type="paragraph" w:customStyle="1" w:styleId="ruller40">
    <w:name w:val="ruller40"/>
    <w:basedOn w:val="a"/>
    <w:rsid w:val="00716A4D"/>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8991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42A4" w:rsidP="00D042A4">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625E8C"/>
    <w:rsid w:val="00793995"/>
    <w:rsid w:val="007C6F98"/>
    <w:rsid w:val="007E254A"/>
    <w:rsid w:val="008B4366"/>
    <w:rsid w:val="009133C7"/>
    <w:rsid w:val="009178E4"/>
    <w:rsid w:val="00961B27"/>
    <w:rsid w:val="009B0396"/>
    <w:rsid w:val="00A87A62"/>
    <w:rsid w:val="00AA7CE3"/>
    <w:rsid w:val="00B91FA3"/>
    <w:rsid w:val="00C96C06"/>
    <w:rsid w:val="00D042A4"/>
    <w:rsid w:val="00DB2F88"/>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42A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D042A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2067</Words>
  <Characters>10336</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2023-05-11T05:40:00Z</dcterms:created>
  <dcterms:modified xsi:type="dcterms:W3CDTF">2023-05-11T05:40:00Z</dcterms:modified>
</cp:coreProperties>
</file>